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12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85.277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curva SpO₂ normalizable, constituyendo la base tanto del cálculo del ARI como del clustering morfológico; y 78.908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85.277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85.277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85.277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89,7 % de los eventos y corresponden a desaturaciones subcríticas o leve-moderadas con recuperación completa. C3, C4 y C5 representan el 10,3 %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2016a).</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85.277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Pr>
                <w:rFonts w:asciiTheme="minorHAnsi" w:hAnsiTheme="minorHAnsi"/>
                <w:sz w:val="20"/>
                <w:szCs w:val="20"/>
              </w:rPr>
              <w:t>55.175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Pr>
                <w:rFonts w:asciiTheme="minorHAnsi" w:hAnsiTheme="minorHAnsi"/>
                <w:sz w:val="20"/>
                <w:szCs w:val="20"/>
              </w:rPr>
              <w:t>64,7 %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Pr>
                <w:rFonts w:asciiTheme="minorHAnsi" w:hAnsiTheme="minorHAnsi"/>
                <w:sz w:val="20"/>
                <w:szCs w:val="20"/>
              </w:rPr>
              <w:t>21.318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Pr>
                <w:rFonts w:asciiTheme="minorHAnsi" w:hAnsiTheme="minorHAnsi"/>
                <w:sz w:val="20"/>
                <w:szCs w:val="20"/>
              </w:rPr>
              <w:t>25,0 %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Pr>
                <w:rFonts w:asciiTheme="minorHAnsi" w:hAnsiTheme="minorHAnsi"/>
                <w:sz w:val="20"/>
                <w:szCs w:val="20"/>
              </w:rPr>
              <w:t>3.662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Pr>
                <w:rFonts w:asciiTheme="minorHAnsi" w:hAnsiTheme="minorHAnsi"/>
                <w:sz w:val="20"/>
                <w:szCs w:val="20"/>
              </w:rPr>
              <w:t>4.301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Pr>
                <w:rFonts w:asciiTheme="minorHAnsi" w:hAnsiTheme="minorHAnsi"/>
                <w:sz w:val="20"/>
                <w:szCs w:val="20"/>
              </w:rPr>
              <w:t>5,0 %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Pr>
                <w:rFonts w:asciiTheme="minorHAnsi" w:hAnsiTheme="minorHAnsi"/>
                <w:sz w:val="20"/>
                <w:szCs w:val="20"/>
              </w:rPr>
              <w:t>821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Pr>
                <w:rFonts w:asciiTheme="minorHAnsi" w:hAnsiTheme="minorHAnsi"/>
                <w:sz w:val="20"/>
                <w:szCs w:val="20"/>
              </w:rPr>
              <w:t>1,0 %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t>Nota. (a) Coeficiente Silhouette para K ∈ [2, 7]; máximo en K = 5 (S = 0,386). (b) Distribución de los 85.277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5.122 eventos (6,0 %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aportaron el 23,8 % de la carga hipóxica acumulada del corpus pese a representar apenas el 6,0 % de los eventos, casi cuatro veces su peso por frecuencia. El morfotipo C5 (caída media de 10,1 pp sin retorno al baseline) representó el 1,0 % de los eventos pero concentró el 7,0 % de la carga hipóxica total.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0,682, moderada): los pacientes con alta proporción de eventos C2 tienden a mantenerla de una noche a la siguiente. Los morfotipos severos C3 y C4 presentaron ICC pobre (0,419 y 0,476), lo que refleja su escasa prevalencia por noche: con pocos eventos por noche la fracción nocturna es ruidosa, aunque el patrón del paciente sea real. C5, en cambio, alcanzó ICC en el límite inferior de moderado (0,505) pese a ser el morfotipo menos frecuente (821 eventos): su distintividad morfológica —la caída más profunda del corpus, sin retorno al baseline— permite reconocerlo de forma consistente incluso con pocas instancias por noche.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0,601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0,476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0,505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considerados inicialmente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0,052 ± 0,045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0,9 %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0,049 ± 0,069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13,77 ± 25,51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98,5 %</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Media (μ): valor medio (± DE) de cada componente en crudo sobre el corpus. Peso efectivo real: fracción que cada componente aportaría a una suma lineal con los pesos nominales 50/30/20 sin normalizar la escala. El componente MOV, cuya magnitud cruda supera en unos dos órdenes a la de SpO₂ y FC, absorbería ≈98 % del índice pese a su peso nominal del 20 %; esta dominancia de escala es la que motiva la percentilización adoptada en el ARI. SpO₂ figura aquí como estímulo (profundidad de la caída) y no como respuesta autonómica, por lo que se excluyó del índice final: el ARI canónico combina únicamente las dos señales de respuesta, FC y MOV.</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0,035 (N = 85.277 EDOs). Pese a la significación estadística, esperable con n tan grande (Wasserstein &amp; Lazar, 2016), el tamaño del efecto es prácticamente nulo. Esta </w:t>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2016a).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1,0 %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definido en §3.3.3 (N = 85.277 EDOs). HR gain: lpm por punto porcentual de caída de SpO₂. C4+C5 = morfotipos severos (is_severe = True).</w:t>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r>
        <w:rPr>
          <w:rFonts w:ascii="Arial" w:hAnsi="Arial" w:cs="Arial"/>
          <w:i/>
          <w:iCs/>
          <w:sz w:val="20"/>
          <w:szCs w:val="20"/>
        </w:rPr>
      </w:r>
      <w:r>
        <w:rPr>
          <w:rFonts w:asciiTheme="minorHAnsi" w:hAnsiTheme="minorHAnsi"/>
          <w:i/>
          <w:iCs/>
          <w:sz w:val="20"/>
          <w:szCs w:val="20"/>
        </w:rPr>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La agregación de los morfotipos C1–C5 y el ARI a nivel noche conformó una matriz de 50 features nocturnas (560 noches in_quality, todas con ≥ 1 EDO de calidad).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(6,0 % de los eventos) concentraron de forma desproporcionada la carga hipóxica acumulada, lo que indica que el ODI3 no es el único determinante del impacto nocturno. El ARI aportó una segunda dimensión prácticamente ortogonal (ρ = 0,035;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