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14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pPr>
        <w:spacing w:after="140" w:line="280" w:lineRule="auto"/>
        <w:jc w:val="both"/>
      </w:pPr>
      <w:r>
        <w:rPr>
          <w:sz w:val="20"/>
          <w:szCs w:val="20"/>
        </w:rPr>
        <w:t xml:space="preserve">El intervalo inter-evento (IEI) mediano fue de 82 segundos, con el 62,8 % de los pares consecutivos separados por menos de 2 minutos, lo que refleja la tendencia de los EDOs a agruparse en trenes densos y justifica la elección del baseline móvil de 120 s en el pipeline de detección.</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6BB6DDB6" w14:textId="77777777" w:rsidR="00220889" w:rsidRDefault="00220889">
      <w:pPr>
        <w:spacing w:after="80"/>
      </w:pPr>
    </w:p>
    <w:p w14:paraId="6164758B" w14:textId="77777777" w:rsidR="00220889" w:rsidRDefault="00000000">
      <w:pPr>
        <w:pStyle w:val="Ttulo3"/>
      </w:pPr>
      <w:r>
        <w:t>4.2.4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100" w:line="280" w:lineRule="auto"/>
        <w:jc w:val="both"/>
      </w:pPr>
      <w:r>
        <w:rPr>
          <w:i/>
          <w:iCs/>
          <w:color w:val="6B7280"/>
          <w:sz w:val="18"/>
          <w:szCs w:val="18"/>
        </w:rPr>
        <w:t xml:space="preserve">▸ Figuras complementarias en Anexo Suplementario: Fig. 4.3 (perfiles de FC y MOV por morfotipo). Tabla 4.3 (correspondencia α–κ con morfotipos de curva) disponible en Anexo Suplementario.</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pPr>
        <w:spacing w:after="100" w:line="280" w:lineRule="auto"/>
        <w:jc w:val="both"/>
      </w:pPr>
      <w:r>
        <w:rPr>
          <w:i/>
          <w:iCs/>
          <w:color w:val="6B7280"/>
          <w:sz w:val="18"/>
          <w:szCs w:val="18"/>
        </w:rPr>
        <w:t xml:space="preserve">▸ Figura complementaria en Anexo Suplementario: Fig. 4.5 (análisis within-stratum del ARI por categoría ODI3).</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7A8C03F0" w14:textId="77777777" w:rsidR="00220889" w:rsidRDefault="00000000">
      <w:pPr>
        <w:pStyle w:val="Ttulo2"/>
        <w:spacing w:before="300"/>
      </w:pPr>
      <w:r>
        <w:t>4.5  Validación de reproducibilidad multi-noche</w:t>
      </w:r>
    </w:p>
    <w:p>
      <w:pPr>
        <w:spacing w:after="160" w:line="276" w:lineRule="auto"/>
        <w:jc w:val="both"/>
      </w:pPr>
      <w:r>
        <w:t xml:space="preserve">El ODI3 exhibe una variabilidad noche a noche que puede alcanzar el 30–50 % entre registros consecutivos del mismo paciente (Bittencourt et al., 2001; Levendowski et al., 2009). Esta variabilidad plantea una pregunta metodológica central: ¿cuántas noches de registro son necesarias para que un índice sea representativo del perfil del paciente? Las secciones siguientes analizan esta estabilidad para el ODI3 (§4.5.1) y para el ARI (§4.5.2).</w:t>
      </w:r>
    </w:p>
    <w:p w14:paraId="12A6B03C" w14:textId="77777777" w:rsidR="00220889" w:rsidRDefault="00000000">
      <w:pPr>
        <w:pStyle w:val="Ttulo3"/>
      </w:pPr>
      <w:r>
        <w:t>4.5.1  Estabilización del ODI3 con el número de noches</w:t>
      </w:r>
    </w:p>
    <w:p>
      <w:pPr>
        <w:spacing w:after="160" w:line="276" w:lineRule="auto"/>
        <w:jc w:val="both"/>
      </w:pPr>
      <w:r>
        <w:t xml:space="preserve">La Tabla 4.7 resume el ICC(1,1) por métrica para las cohortes completa y estricta. La Tabla 4.8 detalla la evolución del ICC(1,1) y del error absoluto medio (MAE) del ODI3 en función del número de noches promediadas: con una sola noche el ICC resultó de 0,70 y el MAE de 4,2 ev/h; a partir de 7 noches el MAE descendió por debajo del umbral operacional de 2 ev/h, sugiriendo que se requiere aproximadamente una semana de registros domiciliarios para obtener una estimación robusta del ODI3 del paciente.</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pPr>
        <w:spacing w:after="100" w:line="280" w:lineRule="auto"/>
        <w:jc w:val="both"/>
      </w:pPr>
      <w:r>
        <w:rPr>
          <w:i/>
          <w:iCs/>
          <w:color w:val="6B7280"/>
          <w:sz w:val="18"/>
          <w:szCs w:val="18"/>
        </w:rPr>
        <w:t xml:space="preserve">▸ Figuras complementarias en Anexo Suplementario: Fig. 4.6 (estabilización del ODI3 con número de noches), Fig. 4.7 (Bland-Altman ARI multi-noche).</w:t>
      </w:r>
    </w:p>
    <w:p w14:paraId="49FB82E1" w14:textId="77777777" w:rsidR="00220889" w:rsidRDefault="00220889">
      <w:pPr>
        <w:spacing w:after="80"/>
      </w:pPr>
    </w:p>
    <w:p w14:paraId="50D8D8EA" w14:textId="77777777" w:rsidR="00220889" w:rsidRDefault="00220889">
      <w:pPr>
        <w:spacing w:after="60"/>
      </w:pP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