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12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2016a).</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Pr>
                <w:rFonts w:asciiTheme="minorHAnsi" w:hAnsiTheme="minorHAnsi"/>
                <w:sz w:val="20"/>
                <w:szCs w:val="20"/>
              </w:rPr>
              <w:t>55.175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Pr>
                <w:rFonts w:asciiTheme="minorHAnsi" w:hAnsiTheme="minorHAnsi"/>
                <w:sz w:val="20"/>
                <w:szCs w:val="20"/>
              </w:rPr>
              <w:t>64,7 %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Pr>
                <w:rFonts w:asciiTheme="minorHAnsi" w:hAnsiTheme="minorHAnsi"/>
                <w:sz w:val="20"/>
                <w:szCs w:val="20"/>
              </w:rPr>
              <w:t>21.318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Pr>
                <w:rFonts w:asciiTheme="minorHAnsi" w:hAnsiTheme="minorHAnsi"/>
                <w:sz w:val="20"/>
                <w:szCs w:val="20"/>
              </w:rPr>
              <w:t>25,0 %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Pr>
                <w:rFonts w:asciiTheme="minorHAnsi" w:hAnsiTheme="minorHAnsi"/>
                <w:sz w:val="20"/>
                <w:szCs w:val="20"/>
              </w:rPr>
              <w:t>3.662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Pr>
                <w:rFonts w:asciiTheme="minorHAnsi" w:hAnsiTheme="minorHAnsi"/>
                <w:sz w:val="20"/>
                <w:szCs w:val="20"/>
              </w:rPr>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Pr>
                <w:rFonts w:asciiTheme="minorHAnsi" w:hAnsiTheme="minorHAnsi"/>
                <w:sz w:val="20"/>
                <w:szCs w:val="20"/>
              </w:rPr>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Pr>
                <w:rFonts w:asciiTheme="minorHAnsi" w:hAnsiTheme="minorHAnsi"/>
                <w:sz w:val="20"/>
                <w:szCs w:val="20"/>
              </w:rPr>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aportaron el 23,8 % de la carga hipóxica acumulada del corpus pese a representar apenas el 6,0 % de los eventos, casi cuatro veces su peso por frecuencia. El morfotipo C5 (caída media de 10,1 pp sin retorno al baseline) representó el 1,0 % de los eventos pero concentró el 7,0 % de la carga hipóxica total.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0,601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0,476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0,052 ± 0,045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0,9 %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0,049 ± 0,069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13,77 ± 25,51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98,5 %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Media (μ): valor medio (± DE) de cada componente en crudo sobre el corpus. Peso efectivo real: fracción que cada componente aportaría a una suma lineal con los pesos nominales 50/30/20 sin normalizar la escala. El componente MOV, cuya magnitud cruda supera en unos dos órdenes a la de SpO₂ y FC, absorbería ≈98 % del índice pese a su peso nominal del 20 %; esta dominancia de escala es la que motiva la percentilización adoptada en el ARI. SpO₂ figura aquí como estímulo (profundidad de la caída) y no como respuesta autonómica, por lo que se excluyó del índice final: el ARI canónico combina únicamente las dos señales de respuesta, FC y MOV.</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2016a).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64,7 %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La agregación de los morfotipos C1–C5 y el ARI a nivel noche conformó una matriz de 50 features nocturnas (560 noches in_quality, todas con ≥ 1 EDO de calidad).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