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15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11117FFD" w14:textId="77777777" w:rsidR="00A71A2A" w:rsidRDefault="00A71A2A" w:rsidP="00A71A2A">
      <w:pPr>
        <w:pStyle w:val="font-claude-response-body"/>
      </w:pPr>
    </w:p>
    <w:p w14:paraId="1A000001" w14:textId="77777777" w:rsidR="00220889" w:rsidRDefault="00000000">
      <w:pPr>
        <w:spacing w:after="160" w:line="276" w:lineRule="auto"/>
        <w:jc w:val="both"/>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K-means sobre el corpus completo, y el cálculo del Índice de Reactividad Autonómica (ARI). El presente capítulo expone los resultados de esa caracterización: los cinco morfotipos de curva SpO₂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features nocturnas que se desarrolla en el Capítulo 5.</w:t>
      </w:r>
    </w:p>
    <w:p w14:paraId="1A000002" w14:textId="77777777" w:rsidR="00220889" w:rsidRDefault="00220889">
      <w:pPr>
        <w:spacing w:after="80"/>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6BB6DDB6" w14:textId="77777777" w:rsidR="00220889" w:rsidRDefault="00220889">
      <w:pPr>
        <w:spacing w:after="80"/>
      </w:pPr>
    </w:p>
    <w:p w14:paraId="1B000001" w14:textId="77777777" w:rsidR="00220889" w:rsidRDefault="00000000">
      <w:pPr>
        <w:pStyle w:val="Ttulo3"/>
      </w:pPr>
      <w:r>
        <w:t>4.2.4  Intervalo inter-evento</w:t>
      </w:r>
    </w:p>
    <w:p w14:paraId="1B000002"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trenes apneicos documentada en la literatura: la apnea obstructiva del sueño tendería a organizarse en episodios agrupados más que en eventos aislados (Oliven et al., 2020). El patrón de agrupación temporal fue incorporado como feature nocturna en la matriz de §4.4.</w:t>
      </w:r>
    </w:p>
    <w:p w14:paraId="1B000003" w14:textId="77777777" w:rsidR="00220889" w:rsidRDefault="00000000">
      <w:pPr>
        <w:spacing w:after="160" w:line="276" w:lineRule="auto"/>
        <w:jc w:val="both"/>
      </w:pPr>
      <w:r>
        <w:t xml:space="preserve">El IEI mediano de 82 s tiene además una implicación metodológica no trivial para el sistema de clasificación morfológica: cuando dos eventos están separados por un intervalo menor que la ventana de baseline (120 s), la baseline local del segundo evento ya se encuentra descendida respecto al nivel de reposo real del paciente. En consecuencia, la caída relativa del segundo evento queda subestimada y tiende a clasificarse como C1 o C2, aunque en términos absolutos el paciente continúe hipóxico. Este fenómeno de fragmentación de eventos introduce dos sesgos sistemáticos: (a) el ODI sobreestima el número de eventos independientes —lo que fisiológicamente puede ser un episodio único prolongado queda registrado como dos o más eventos cortos—; y (b) el ARI de los eventos C1/C2 post-severos puede ser artificialmente bajo, dado que el sistema autónomo ya «gastó» parte de su respuesta en el evento precedente. La </w:t>
      </w:r>
      <w:r>
        <w:rPr>
          <w:i/>
          <w:iCs/>
        </w:rPr>
        <w:t>hypoxic burden</w:t>
      </w:r>
      <w:r>
        <w:t xml:space="preserve"> (área bajo la curva SpO₂) resulta más robusta que el ODI ante este tipo de fragmentación, al integrar la carga hipóxica real con independencia de cómo el algoritmo divida los episodios. Este fenómeno ha sido implementado como alerta interpretativa en la aplicación de visualización (Capítulo 7).</w:t>
      </w:r>
    </w:p>
    <w:p w14:paraId="7497604D" w14:textId="77777777" w:rsidR="00220889" w:rsidRDefault="00220889">
      <w:pPr>
        <w:spacing w:after="80"/>
      </w:pPr>
    </w:p>
    <w:p w14:paraId="6164758B" w14:textId="77777777" w:rsidR="00220889" w:rsidRDefault="00000000">
      <w:pPr>
        <w:pStyle w:val="Ttulo3"/>
      </w:pPr>
      <w:r>
        <w:t>4.2.5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100" w:line="280" w:lineRule="auto"/>
        <w:jc w:val="both"/>
      </w:pPr>
      <w:r>
        <w:rPr>
          <w:i/>
          <w:iCs/>
          <w:color w:val="6B7280"/>
          <w:sz w:val="18"/>
          <w:szCs w:val="18"/>
        </w:rPr>
        <w:t xml:space="preserve">▸ Figuras complementarias en Anexo Suplementario: Fig. 4.3 (perfiles de FC y MOV por morfotipo). Tabla 4.3 (correspondencia α–κ con morfotipos de curva) disponible en Anexo Suplementario.</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100" w:line="280" w:lineRule="auto"/>
        <w:jc w:val="both"/>
      </w:pPr>
      <w:r>
        <w:rPr>
          <w:i/>
          <w:iCs/>
          <w:color w:val="6B7280"/>
          <w:sz w:val="18"/>
          <w:szCs w:val="18"/>
        </w:rPr>
        <w:t xml:space="preserve">▸ Figura complementaria en Anexo Suplementario: Fig. 4.5 (análisis within-stratum del ARI por categoría ODI3).</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7A8C03F0" w14:textId="77777777" w:rsidR="00220889" w:rsidRDefault="00000000">
      <w:pPr>
        <w:pStyle w:val="Ttulo2"/>
        <w:spacing w:before="300"/>
      </w:pPr>
      <w:r>
        <w:t>4.5  Validación de reproducibilidad multi-noche</w:t>
      </w:r>
    </w:p>
    <w:p>
      <w:pPr>
        <w:spacing w:after="160" w:line="276" w:lineRule="auto"/>
        <w:jc w:val="both"/>
      </w:pPr>
      <w:r>
        <w:t xml:space="preserve">El ODI3 exhibe una variabilidad noche a noche que puede alcanzar el 30–50 % entre registros consecutivos del mismo paciente (Bittencourt et al., 2001; Levendowski et al., 2009). Esta variabilidad plantea una pregunta metodológica central: ¿cuántas noches de registro son necesarias para que un índice sea representativo del perfil del paciente? Las secciones siguientes analizan esta estabilidad para el ODI3 (§4.5.1) y para el ARI (§4.5.2).</w:t>
      </w:r>
    </w:p>
    <w:p w14:paraId="12A6B03C" w14:textId="77777777" w:rsidR="00220889" w:rsidRDefault="00000000">
      <w:pPr>
        <w:pStyle w:val="Ttulo3"/>
      </w:pPr>
      <w:r>
        <w:t>4.5.1  Estabilización del ODI3 con el número de noches</w:t>
      </w:r>
    </w:p>
    <w:p>
      <w:pPr>
        <w:spacing w:after="160" w:line="276" w:lineRule="auto"/>
        <w:jc w:val="both"/>
      </w:pPr>
      <w:r>
        <w:t xml:space="preserve">La Tabla 4.7 resume el ICC(1,1) por métrica para las cohortes completa y estricta. La Tabla 4.8 detalla la evolución del ICC(1,1) y del error absoluto medio (MAE) del ODI3 en función del número de noches promediadas: con una sola noche el ICC resultó de 0,70 y el MAE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pPr>
        <w:spacing w:after="100" w:line="280" w:lineRule="auto"/>
        <w:jc w:val="both"/>
      </w:pPr>
      <w:r>
        <w:rPr>
          <w:i/>
          <w:iCs/>
          <w:color w:val="6B7280"/>
          <w:sz w:val="18"/>
          <w:szCs w:val="18"/>
        </w:rPr>
        <w:t xml:space="preserve">▸ Figuras complementarias en Anexo Suplementario: Fig. 4.6 (estabilización del ODI3 con número de noches), Fig. 4.7 (Bland-Altman ARI multi-noche).</w:t>
      </w:r>
    </w:p>
    <w:p w14:paraId="49FB82E1" w14:textId="77777777" w:rsidR="00220889" w:rsidRDefault="00220889">
      <w:pPr>
        <w:spacing w:after="80"/>
      </w:pPr>
    </w:p>
    <w:p w14:paraId="50D8D8EA" w14:textId="77777777" w:rsidR="00220889" w:rsidRDefault="00220889">
      <w:pPr>
        <w:spacing w:after="60"/>
      </w:pP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1C000001" w14:textId="77777777" w:rsidR="00220889" w:rsidRDefault="00000000">
      <w:pPr>
        <w:spacing w:after="160" w:line="276" w:lineRule="auto"/>
        <w:jc w:val="both"/>
      </w:pPr>
      <w:r>
        <w:t xml:space="preserve">Un hallazgo de carácter observacional, emergente del uso de la aplicación sobre datos reales, merece mención como limitación del clasificador morfológico: cuando un evento severo (C3–C5) es seguido por otro evento dentro de los 90 s, la baseline local del segundo evento puede estar descendida, haciendo que su caída relativa quede subestimada y que se clasifique como C1 o C2 aunque el paciente continúe en hipoxemia sostenida. Esta fragmentación de eventos es un artefacto del diseño de la ventana deslizante de 120 s (§3.3) y tiene dos consecuencias prácticas: el ODI puede sobreestimar el número de eventos independientes, y el ARI de los C1/C2 post-severos puede ser artificialmente bajo. El análisis de fragmentación, desarrollado en §4.2.4, complementa la lectura del ODI con la </w:t>
      </w:r>
      <w:r>
        <w:rPr>
          <w:i/>
          <w:iCs/>
        </w:rPr>
        <w:t>hypoxic burden</w:t>
      </w:r>
      <w:r>
        <w:t xml:space="preserve"> como métrica más robusta ante episodios fragmentados.</w:t>
      </w:r>
    </w:p>
    <w:p w14:paraId="55337484" w14:textId="77777777" w:rsidR="00220889" w:rsidRDefault="00220889">
      <w:pPr>
        <w:spacing w:after="80"/>
      </w:pPr>
    </w:p>
    <w:p w14:paraId="3209C891" w14:textId="77777777" w:rsidR="00220889" w:rsidRDefault="00000000">
      <w:r>
        <w:br w:type="page"/>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