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9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84.248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constituyen la base del cálculo del ARI; 84.248 tienen curva SpO₂ normalizable y son la base del clustering morfológico; y 83.672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77777777"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 Anexo Suplementario</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84.248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84.248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89,6 % de los eventos y corresponden a desaturaciones subcríticas o leve-moderadas con recuperación completa. C3, C4 y C5 representan el 10,4 %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lastRenderedPageBreak/>
        <w:t>Nota. (a) Coeficiente Silhouette para K ∈ [2, 7]; máximo en K = 5 (S = 0,386). (b) Distribución de los 84.248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5.177 eventos (6,1 %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0,9 %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 xml:space="preserve">Para evaluar si los morfotipos constituyen rasgos estables del paciente —y no artefactos de la noche de medición—, se calculó el coeficiente de correlación interclase (ICC(1,1)) sobre la fracción nocturna de cada morfotipo a lo largo de las </w:t>
      </w:r>
      <w:r>
        <w:rPr>
          <w:rFonts w:asciiTheme="minorHAnsi" w:hAnsiTheme="minorHAnsi"/>
        </w:rPr>
        <w:lastRenderedPageBreak/>
        <w:t>noches consecutivas de cada paciente (Koo &amp; Li, 2016). C2 mostró la mayor consistencia inter-noche (ICC = 0,684, moderada-buena): los pacientes con alta proporción de eventos C2 tienden a mantenerla de una noche a la siguiente. Los morfotipos severos C3 y C4 presentaron ICC pobre (0,403 y 0,461), lo que refleja su escasa prevalencia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r>
      <w:r>
        <w:rPr>
          <w:rFonts w:asciiTheme="minorHAnsi" w:hAnsiTheme="minorHAnsi"/>
        </w:rPr>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0,034 (N = 85.277 EDOs). Pese a la significación estadística, esperable con n tan grande (Wasserstein &amp; Lazar, 2016), el tamaño del efecto es prácticamente nulo. Esta </w:t>
      </w:r>
      <w:r>
        <w:rPr>
          <w:rFonts w:asciiTheme="minorHAnsi" w:hAnsiTheme="minorHAnsi"/>
        </w:rPr>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calculado como ARI</w:t>
      </w:r>
      <w:r>
        <w:rPr>
          <w:rFonts w:ascii="Arial" w:hAnsi="Arial" w:cs="Arial"/>
          <w:i/>
          <w:iCs/>
          <w:sz w:val="20"/>
          <w:szCs w:val="20"/>
        </w:rPr>
        <w:t>ᵢ</w:t>
      </w:r>
      <w:r>
        <w:rPr>
          <w:rFonts w:asciiTheme="minorHAnsi" w:hAnsiTheme="minorHAnsi"/>
          <w:i/>
          <w:iCs/>
          <w:sz w:val="20"/>
          <w:szCs w:val="20"/>
        </w:rPr>
        <w:t xml:space="preserve"> = 0,6·P(hr_gain</w:t>
      </w:r>
      <w:r>
        <w:rPr>
          <w:rFonts w:ascii="Arial" w:hAnsi="Arial" w:cs="Arial"/>
          <w:i/>
          <w:iCs/>
          <w:sz w:val="20"/>
          <w:szCs w:val="20"/>
        </w:rPr>
        <w:t>ᵢ</w:t>
      </w:r>
      <w:r>
        <w:rPr>
          <w:rFonts w:asciiTheme="minorHAnsi" w:hAnsiTheme="minorHAnsi"/>
          <w:i/>
          <w:iCs/>
          <w:sz w:val="20"/>
          <w:szCs w:val="20"/>
        </w:rPr>
        <w:t>) + 0,4·P(mov_gain</w:t>
      </w:r>
      <w:r>
        <w:rPr>
          <w:rFonts w:ascii="Arial" w:hAnsi="Arial" w:cs="Arial"/>
          <w:i/>
          <w:iCs/>
          <w:sz w:val="20"/>
          <w:szCs w:val="20"/>
        </w:rPr>
        <w:t>ᵢ</w:t>
      </w:r>
      <w:r>
        <w:rPr>
          <w:rFonts w:asciiTheme="minorHAnsi" w:hAnsiTheme="minorHAnsi"/>
          <w:i/>
          <w:iCs/>
          <w:sz w:val="20"/>
          <w:szCs w:val="20"/>
        </w:rPr>
        <w:t>) sobre N = 85.277 EDOs (§3.3.3). HR gain: lpm por punto porcentual de caída de SpO₂. C4+C5 = morfotipos severos (is_severe = True).</w:t>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Las correlaciones de Spearman con el ODI3 mostraron que las fracciones de morfotipo contienen información relevante: frac_c1 presentó ρ = −0,621 (marcador potencialmente protector) y frac_c2 ρ = +0,625 (carga creciente con la severidad), mientras que el ARI </w:t>
      </w:r>
      <w:r>
        <w:rPr>
          <w:rFonts w:asciiTheme="minorHAnsi" w:hAnsiTheme="minorHAnsi"/>
        </w:rPr>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Los EDOs constituyen una clase heterogénea de eventos: el clustering sobre curvas normalizadas identificó cinco morfotipos (C1–C5) que capturan dimensiones </w:t>
      </w:r>
      <w:r>
        <w:rPr>
          <w:rFonts w:asciiTheme="minorHAnsi" w:hAnsiTheme="minorHAnsi"/>
        </w:rPr>
        <w:lastRenderedPageBreak/>
        <w:t>fisiológicas que los índices escalares no distinguen. Los morfotipos severos C4 y C5 (6,1 % de los eventos) concentraron de forma desproporcionada la carga hipóxica acumulada, lo que indica que el ODI3 no es el único determinante del impacto nocturno. El ARI aportó una segunda dimensión prácticamente ortogonal (ρ = 0,034;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0B63" w14:textId="77777777" w:rsidR="00F27915" w:rsidRDefault="00F27915" w:rsidP="005D4FA1">
      <w:r>
        <w:separator/>
      </w:r>
    </w:p>
  </w:endnote>
  <w:endnote w:type="continuationSeparator" w:id="0">
    <w:p w14:paraId="2F6665E1" w14:textId="77777777" w:rsidR="00F27915" w:rsidRDefault="00F27915"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B53D2" w14:textId="77777777" w:rsidR="00F27915" w:rsidRDefault="00F27915" w:rsidP="005D4FA1">
      <w:r>
        <w:separator/>
      </w:r>
    </w:p>
  </w:footnote>
  <w:footnote w:type="continuationSeparator" w:id="0">
    <w:p w14:paraId="17D27232" w14:textId="77777777" w:rsidR="00F27915" w:rsidRDefault="00F27915"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5A6C40"/>
    <w:rsid w:val="005B69E5"/>
    <w:rsid w:val="005D072B"/>
    <w:rsid w:val="005D4FA1"/>
    <w:rsid w:val="00606F0A"/>
    <w:rsid w:val="00610E0B"/>
    <w:rsid w:val="00672645"/>
    <w:rsid w:val="006A03B8"/>
    <w:rsid w:val="006A65F9"/>
    <w:rsid w:val="006E1028"/>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2820</Words>
  <Characters>14386</Characters>
  <Application>Microsoft Office Word</Application>
  <DocSecurity>0</DocSecurity>
  <Lines>496</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2026-06-04T02:49:00Z</dcterms:created>
  <dcterms:modified xsi:type="dcterms:W3CDTF">2026-06-05T11:57:00Z</dcterms:modified>
</cp:coreProperties>
</file>