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77777777" w:rsidR="003B2DDA" w:rsidRPr="00876E5F" w:rsidRDefault="00000000" w:rsidP="00876E5F">
      <w:pPr>
        <w:spacing w:after="400"/>
        <w:rPr>
          <w:sz w:val="18"/>
          <w:szCs w:val="18"/>
        </w:rPr>
      </w:pPr>
      <w:r>
        <w:rPr>
          <w:i/>
          <w:iCs/>
          <w:color w:val="666666"/>
          <w:sz w:val="18"/>
          <w:szCs w:val="18"/>
        </w:rPr>
        <w:t>Versión 10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sobre n = 83.892 eventos (NB05).</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(~50 % de las noches, dominancia M0/M2), Carga Intermedia (~35 %, alternancia M4/M3) y Carga Hipóxica Alta (~15 %, alta fracción M1). Lo llamativo es que este último perfil aparece en pacientes clasificados como Moderado por el ODI3, lo que sugiere que hay noches con hipoxemia dinámica sostenida que el índice de frecuencia no detecta.</w:t>
      </w:r>
    </w:p>
    <w:p w14:paraId="18756A5F" w14:textId="49E120FA" w:rsidR="003B2DDA" w:rsidRPr="00876E5F" w:rsidRDefault="003F1079" w:rsidP="003F1079">
      <w:pPr>
        <w:pStyle w:val="font-claude-response-body"/>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21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15 fracciones de estado (</w:t>
      </w:r>
      <w:r>
        <w:rPr>
          <w:rFonts w:asciiTheme="minorHAnsi" w:hAnsiTheme="minorHAnsi"/>
          <w:b w:val="0"/>
          <w:bCs w:val="0"/>
          <w:i/>
          <w:iCs/>
          <w:sz w:val="24"/>
          <w:szCs w:val="24"/>
        </w:rPr>
        <w:t>frac_s_S0–S5</w:t>
      </w:r>
      <w:r>
        <w:rPr>
          <w:rFonts w:asciiTheme="minorHAnsi" w:hAnsiTheme="minorHAnsi"/>
          <w:b w:val="0"/>
          <w:bCs w:val="0"/>
          <w:sz w:val="24"/>
          <w:szCs w:val="24"/>
        </w:rPr>
        <w:t xml:space="preserve"> excluyendo S6; </w:t>
      </w:r>
      <w:r>
        <w:rPr>
          <w:rFonts w:asciiTheme="minorHAnsi" w:hAnsiTheme="minorHAnsi"/>
          <w:b w:val="0"/>
          <w:bCs w:val="0"/>
          <w:i/>
          <w:iCs/>
          <w:sz w:val="24"/>
          <w:szCs w:val="24"/>
        </w:rPr>
        <w:t>frac_m_M0–M4</w:t>
      </w:r>
      <w:r>
        <w:rPr>
          <w:rFonts w:asciiTheme="minorHAnsi" w:hAnsiTheme="minorHAnsi"/>
          <w:b w:val="0"/>
          <w:bCs w:val="0"/>
          <w:sz w:val="24"/>
          <w:szCs w:val="24"/>
        </w:rPr>
        <w:t xml:space="preserve">; </w:t>
      </w:r>
      <w:r>
        <w:rPr>
          <w:rFonts w:asciiTheme="minorHAnsi" w:hAnsiTheme="minorHAnsi"/>
          <w:b w:val="0"/>
          <w:bCs w:val="0"/>
          <w:i/>
          <w:iCs/>
          <w:sz w:val="24"/>
          <w:szCs w:val="24"/>
        </w:rPr>
        <w:t>frac_l_L0–L3</w:t>
      </w:r>
      <w:r>
        <w:rPr>
          <w:rFonts w:asciiTheme="minorHAnsi" w:hAnsiTheme="minorHAnsi"/>
          <w:b w:val="0"/>
          <w:bCs w:val="0"/>
          <w:sz w:val="24"/>
          <w:szCs w:val="24"/>
        </w:rPr>
        <w:t xml:space="preserve">); 3 entropías de Shannon por escala (cada una un valor escalar en [0, 1] que captura el grado de concentración o dispersión de la distribución de estados durante esa noche) y 3 tasas de transición (número de cambios entre estados distintos, normalizado por duración de la noche). Un PCA sobre esta matriz de 560 noches explica el 29,2 % en PC1, con </w:t>
      </w:r>
      <w:r w:rsidR="003B1284">
        <w:rPr>
          <w:rFonts w:asciiTheme="minorHAnsi" w:hAnsiTheme="minorHAnsi"/>
          <w:b w:val="0"/>
          <w:bCs w:val="0"/>
          <w:sz w:val="24"/>
          <w:szCs w:val="24"/>
        </w:rPr>
        <w:t>cargas</w:t>
      </w:r>
      <w:r>
        <w:rPr>
          <w:rFonts w:asciiTheme="minorHAnsi" w:hAnsiTheme="minorHAnsi"/>
          <w:b w:val="0"/>
          <w:bCs w:val="0"/>
          <w:sz w:val="24"/>
          <w:szCs w:val="24"/>
        </w:rPr>
        <w:t xml:space="preserve"> dominantes en </w:t>
      </w:r>
      <w:r>
        <w:rPr>
          <w:rFonts w:asciiTheme="minorHAnsi" w:hAnsiTheme="minorHAnsi"/>
          <w:b w:val="0"/>
          <w:bCs w:val="0"/>
          <w:i/>
          <w:iCs/>
          <w:sz w:val="24"/>
          <w:szCs w:val="24"/>
        </w:rPr>
        <w:t>frac_s_S2, frac_s_S1 y frac_m_M0</w:t>
      </w:r>
      <w:r>
        <w:rPr>
          <w:rFonts w:asciiTheme="minorHAnsi" w:hAnsiTheme="minorHAnsi"/>
          <w:b w:val="0"/>
          <w:bCs w:val="0"/>
          <w:sz w:val="24"/>
          <w:szCs w:val="24"/>
        </w:rPr>
        <w:t xml:space="preserve">: la primera dimensión de variación entre noches está determinada por la fracción de tiempo en </w:t>
      </w:r>
      <w:r>
        <w:rPr>
          <w:rFonts w:asciiTheme="minorHAnsi" w:hAnsiTheme="minorHAnsi"/>
          <w:b w:val="0"/>
          <w:bCs w:val="0"/>
          <w:sz w:val="24"/>
          <w:szCs w:val="24"/>
        </w:rPr>
        <w:lastRenderedPageBreak/>
        <w:t xml:space="preserve">estados de baja carga. Estas 21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3F3CDC72" w:rsidR="003B1284" w:rsidRDefault="003B1284" w:rsidP="003B1284">
      <w:pPr>
        <w:spacing w:after="200"/>
        <w:jc w:val="both"/>
      </w:pPr>
      <w:r>
        <w:rPr>
          <w:rFonts w:asciiTheme="minorHAnsi" w:hAnsiTheme="minorHAnsi"/>
          <w:i/>
          <w:iCs/>
          <w:sz w:val="18"/>
          <w:szCs w:val="18"/>
        </w:rPr>
        <w:t xml:space="preserve">Nota. Correlaciones de Spearman (ρ) entre las fracciones de estado PAC (escalas S, M y L) y los índices nocturnos ODI3, T90, ARI y HB₃. La especialización funcional emerge del patrón: S4→ODI3 (ρ = +0,691), M1→T90 (ρ = +0,744), S5→ARI (ρ = +0,637), L0→T90 (ρ = +0,705).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en pacientes de categorías AASM Moderado y Grave, no exclusivamente en los más severos,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7F628" w14:textId="77777777" w:rsidR="008902A2" w:rsidRDefault="008902A2">
      <w:r>
        <w:separator/>
      </w:r>
    </w:p>
  </w:endnote>
  <w:endnote w:type="continuationSeparator" w:id="0">
    <w:p w14:paraId="183EDCDF" w14:textId="77777777" w:rsidR="008902A2" w:rsidRDefault="008902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E80B0" w14:textId="77777777" w:rsidR="008902A2" w:rsidRDefault="008902A2">
      <w:r>
        <w:separator/>
      </w:r>
    </w:p>
  </w:footnote>
  <w:footnote w:type="continuationSeparator" w:id="0">
    <w:p w14:paraId="6D978109" w14:textId="77777777" w:rsidR="008902A2" w:rsidRDefault="008902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77777777"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E077F1">
      <w:rPr>
        <w:color w:val="747474" w:themeColor="background2" w:themeShade="80"/>
        <w:sz w:val="18"/>
        <w:szCs w:val="18"/>
      </w:rPr>
      <w:t>7</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B1284"/>
    <w:rsid w:val="003B2DDA"/>
    <w:rsid w:val="003F1079"/>
    <w:rsid w:val="00434B3A"/>
    <w:rsid w:val="00523356"/>
    <w:rsid w:val="00783361"/>
    <w:rsid w:val="007D5BA6"/>
    <w:rsid w:val="00833978"/>
    <w:rsid w:val="00876E5F"/>
    <w:rsid w:val="008902A2"/>
    <w:rsid w:val="008F0E9D"/>
    <w:rsid w:val="00A41D71"/>
    <w:rsid w:val="00A530A0"/>
    <w:rsid w:val="00AD52B2"/>
    <w:rsid w:val="00E077F1"/>
    <w:rsid w:val="00E3349B"/>
    <w:rsid w:val="00E9736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4</cp:revision>
  <dcterms:created xsi:type="dcterms:W3CDTF">2026-06-05T15:33:00Z</dcterms:created>
  <dcterms:modified xsi:type="dcterms:W3CDTF">2026-06-05T15:44:00Z</dcterms:modified>
</cp:coreProperties>
</file>