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3</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Este es el hallazgo central de la sección: el fenotipo de Carga Hipóxica Alta aparece exclusivamente en pacientes clasificados como Moderado por el ODI3 —no en los más severos—, lo que sugiere que la dinámica nocturna captura hipoxemia sostenida que el índice de frecuencia no detecta.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estado en las escalas S (estados S0–S6), M (M0–M4) y L (L0–L3), entropías de Shannon por escala y tasas de transición, más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de contexto adicionales por escala.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