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3</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(~28 % de las noches, dominancia M0/M2), Carga Intermedia (~71 %, alternancia M4/M3) y Carga Hipóxica Alta (~1 %, alta fracción M1). Este es el hallazgo central de la sección: aunque infrecuente, el fenotipo de Carga Hipóxica Alta aparece exclusivamente en pacientes clasificados como Moderado por el ODI3 —no en los más severos—, lo que sugiere que la dinámica nocturna identifica hipoxemia sostenida que el índice de frecuencia no detecta. El Capítulo 6 retomará este hallazgo al cruzarlo con los modelos predictivos y la ablación de features.</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26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estado en las escalas S (estados S0–S6), M (M0–M4) y L (L0–L3), entropías de Shannon por escala y tasas de transición, más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t xml:space="preserve">features de contexto adicionales por escala. </w:t>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Estas 26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