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4</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Este es el hallazgo central de la sección: aunque infrecuente, el fenotipo de Carga Hipóxica Alta aparece exclusivamente en pacientes clasificados como Moderado por el ODI3 —no en los más severos—, lo que sugiere que la dinámica nocturna identifica hipoxemia sostenida que el índice de frecuencia no detecta.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26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estado en las escalas S (estados S0–S6), M (M0–M4) y L (L0–L3), entropías de Shannon por escala y tasas de transición, más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t xml:space="preserve">features de contexto adicionales por escala. </w:t>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26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