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5</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(~28 % de las noches, dominancia M0/M2), Carga Intermedia (~71 %, alternancia M4/M3) y Carga Hipóxica Alta (~1 %, alta fracción M1). Con n = 8 pacientes y ~7 noches CHA en el corpus, este resultado debe interpretarse como generador de hipótesis. El fenotipo es estadísticamente infrecuente pero morfológicamente extremo —M1 = 78 %, ARI = 0,28—, y su aparición exclusiva en pacientes clasificados como Moderado por el ODI3 sugiere que la dinámica nocturna podría identificar carga hipóxica que el índice de frecuencia no detecta. La confirmación requeriría replicación en cohortes más amplias. El Capítulo 6 retomará este hallazgo al cruzarlo con los modelos predictivos y la ablación de features.</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26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tiempo en cada estado de las escalas S (S0–S6, 7 estados), M (M0–M4, 5 estados) y L (L0–L3, 4 estados); entropía de Shannon por escala (3 valores); tasa de transición por escala (3 valores); y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t xml:space="preserve">features adicionales de contexto temporal extraídas de nights.parquet (5 variables). </w:t>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26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