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21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tiempo en cada estado de las escalas S (S0–S5; S6 se excluye de la matriz nocturna por su baja frecuencia), M (M0–M4) y L (L0–L3), que totalizan 15 fracciones; entropía de Shannon por escala (3 valores); y tasa de transición por escala (3 valores).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r>
        <w:rPr>
          <w:rFonts w:ascii="Arial" w:hAnsi="Arial"/>
        </w:rPr>
        <w:t>El Capítulo 6 convierte estas representaciones en predicciones: acoplamiento morfotipo–estado, modelos de severidad y Risk Score PAC.</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