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CAPÍTULO 5</w:t>
      </w:r>
    </w:p>
    <w:p>
      <w:pPr>
        <w:spacing w:after="80"/>
        <w:jc w:val="center"/>
      </w:pPr>
      <w:r>
        <w:rPr>
          <w:rFonts w:ascii="Times New Roman" w:cs="Times New Roman" w:eastAsia="Times New Roman" w:hAnsi="Times New Roman"/>
          <w:b/>
          <w:bCs/>
          <w:sz w:val="32"/>
          <w:szCs w:val="32"/>
        </w:rPr>
        <w:t xml:space="preserve">PAC States y Caracterización Multiescala de la Fisiología Nocturna</w:t>
      </w:r>
    </w:p>
    <w:p>
      <w:pPr>
        <w:spacing w:after="400"/>
        <w:jc w:val="center"/>
      </w:pPr>
      <w:r>
        <w:rPr>
          <w:rFonts w:ascii="Times New Roman" w:cs="Times New Roman" w:eastAsia="Times New Roman" w:hAnsi="Times New Roman"/>
          <w:i/>
          <w:iCs/>
          <w:color w:val="666666"/>
          <w:sz w:val="24"/>
          <w:szCs w:val="24"/>
        </w:rPr>
        <w:t xml:space="preserve">Versión 3  ·  Junio 2026</w:t>
      </w:r>
    </w:p>
    <w:p>
      <w:pPr>
        <w:spacing w:after="200" w:before="0" w:line="360" w:lineRule="auto"/>
        <w:jc w:val="both"/>
      </w:pPr>
      <w:r>
        <w:rPr>
          <w:rFonts w:ascii="Times New Roman" w:cs="Times New Roman" w:eastAsia="Times New Roman" w:hAnsi="Times New Roman"/>
          <w:sz w:val="24"/>
          <w:szCs w:val="24"/>
        </w:rPr>
        <w:t xml:space="preserve">El capítulo anterior (§4.2) estableció que los EDOs no son fisiológicamente equivalentes: los cinco morfotipos C1–C5 y el ARI configuran una caracterización de nivel evento. Este capítulo escala esa lógica al contexto dinámico de la noche completa mediante representaciones de estados en tres resoluciones temporales, integrando los resultados de NB03 —que valida el ARI como feature nocturna estable y construye el espacio de estados multidimensional— y NB04 —que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pPr>
        <w:pStyle w:val="Heading2"/>
        <w:spacing w:after="120" w:before="300"/>
      </w:pPr>
      <w:r>
        <w:rPr>
          <w:rFonts w:ascii="Times New Roman" w:cs="Times New Roman" w:eastAsia="Times New Roman" w:hAnsi="Times New Roman"/>
          <w:b/>
          <w:bCs/>
          <w:sz w:val="26"/>
          <w:szCs w:val="26"/>
        </w:rPr>
        <w:t xml:space="preserve">5.1  Construcción del espacio de estados PAC</w:t>
      </w:r>
    </w:p>
    <w:p>
      <w:pPr>
        <w:spacing w:after="200" w:before="0" w:line="360" w:lineRule="auto"/>
        <w:jc w:val="both"/>
      </w:pPr>
      <w:r>
        <w:rPr>
          <w:rFonts w:ascii="Times New Roman" w:cs="Times New Roman" w:eastAsia="Times New Roman" w:hAnsi="Times New Roman"/>
          <w:sz w:val="24"/>
          <w:szCs w:val="24"/>
        </w:rPr>
        <w:t xml:space="preserve">El ARI nocturno medio exhibe estabilidad moderada (ICC(1,1) = 0,69; §4.3.2) con correlación con ODI3 de ρ = −0,245 a nivel nocturno, confirmando que aporta información parcialmente independiente de la frecuencia de eventos y justificando su inclusión como feature en el sistema de estados. El punto de partida es la tabla Gold states.parquet (~519.000 ventanas), donde a cada ventana se asigna un vector de 24 características fisiológicas —SpO₂ media y variabilidad, FC media y variabilidad, fracción de movimiento, estadísticos de eventos activos, etapa de sueño estimada y features de contexto temporal—. La Tabla 5.2 resume los parámetros del clustering por escala.</w:t>
      </w:r>
    </w:p>
    <w:p>
      <w:pPr>
        <w:spacing w:after="60" w:before="200"/>
      </w:pPr>
      <w:r>
        <w:rPr>
          <w:rFonts w:ascii="Times New Roman" w:cs="Times New Roman" w:eastAsia="Times New Roman" w:hAnsi="Times New Roman"/>
          <w:b/>
          <w:bCs/>
          <w:sz w:val="20"/>
          <w:szCs w:val="20"/>
        </w:rPr>
        <w:t xml:space="preserve">Tabla 5.2. Parámetros del sistema PAC States por escala temporal.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1400"/>
        <w:gridCol w:w="1500"/>
        <w:gridCol w:w="18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Escala</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Resolución</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K</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Labels</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Transiciones analizadas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 Cramér</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 (corta)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30 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S0–S6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462.519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0,356</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 (intermedia)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min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M0–M4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45.900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0,231</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 (larga)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30 min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L0–L3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7.196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0,196</w:t>
            </w:r>
          </w:p>
        </w:tc>
      </w:tr>
    </w:tbl>
    <w:p>
      <w:pPr>
        <w:spacing w:after="100" w:before="0" w:line="300" w:lineRule="auto"/>
        <w:jc w:val="both"/>
      </w:pPr>
      <w:r>
        <w:rPr>
          <w:rFonts w:ascii="Times New Roman" w:cs="Times New Roman" w:eastAsia="Times New Roman" w:hAnsi="Times New Roman"/>
          <w:i/>
          <w:iCs/>
          <w:sz w:val="20"/>
          <w:szCs w:val="20"/>
        </w:rPr>
        <w:t xml:space="preserve">Nota. K = número de clusters seleccionado mediante método del codo y coeficiente de Silhouette (NB04). V de Cramér: asociación entre estado activo y morfotipo de evento C1–C5, sobre n = 83.892 eventos (NB05).</w:t>
      </w:r>
    </w:p>
    <w:p>
      <w:pPr>
        <w:spacing w:after="200" w:before="0" w:line="360" w:lineRule="auto"/>
        <w:jc w:val="both"/>
      </w:pPr>
      <w:r>
        <w:rPr>
          <w:rFonts w:ascii="Times New Roman" w:cs="Times New Roman" w:eastAsia="Times New Roman" w:hAnsi="Times New Roman"/>
          <w:sz w:val="24"/>
          <w:szCs w:val="24"/>
        </w:rPr>
        <w:t xml:space="preserve">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pPr>
        <w:pStyle w:val="Heading2"/>
        <w:spacing w:after="120" w:before="300"/>
      </w:pPr>
      <w:r>
        <w:rPr>
          <w:rFonts w:ascii="Times New Roman" w:cs="Times New Roman" w:eastAsia="Times New Roman" w:hAnsi="Times New Roman"/>
          <w:b/>
          <w:bCs/>
          <w:sz w:val="26"/>
          <w:szCs w:val="26"/>
        </w:rPr>
        <w:t xml:space="preserve">5.2  PAC States escala S — microdinámica nocturna</w:t>
      </w:r>
    </w:p>
    <w:p>
      <w:pPr>
        <w:spacing w:after="200" w:before="0" w:line="360" w:lineRule="auto"/>
        <w:jc w:val="both"/>
      </w:pPr>
      <w:r>
        <w:rPr>
          <w:rFonts w:ascii="Times New Roman" w:cs="Times New Roman" w:eastAsia="Times New Roman" w:hAnsi="Times New Roman"/>
          <w:sz w:val="24"/>
          <w:szCs w:val="24"/>
        </w:rPr>
        <w:t xml:space="preserve">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pPr>
        <w:spacing w:after="160" w:before="80"/>
      </w:pPr>
      <w:r>
        <w:rPr>
          <w:rFonts w:ascii="Times New Roman" w:cs="Times New Roman" w:eastAsia="Times New Roman" w:hAnsi="Times New Roman"/>
          <w:i/>
          <w:iCs/>
          <w:color w:val="555555"/>
          <w:sz w:val="20"/>
          <w:szCs w:val="20"/>
        </w:rPr>
        <w:t xml:space="preserve">▸ Figura complementaria en Anexo Suplementario: Fig. 5.2 (perfil fisiológico de los siete estados de escala S).</w:t>
      </w:r>
    </w:p>
    <w:p>
      <w:pPr>
        <w:pStyle w:val="Heading2"/>
        <w:spacing w:after="120" w:before="300"/>
      </w:pPr>
      <w:r>
        <w:rPr>
          <w:rFonts w:ascii="Times New Roman" w:cs="Times New Roman" w:eastAsia="Times New Roman" w:hAnsi="Times New Roman"/>
          <w:b/>
          <w:bCs/>
          <w:sz w:val="26"/>
          <w:szCs w:val="26"/>
        </w:rPr>
        <w:t xml:space="preserve">5.3  PAC States escala M — regulación intermedia</w:t>
      </w:r>
    </w:p>
    <w:p>
      <w:pPr>
        <w:spacing w:after="200" w:before="0" w:line="360" w:lineRule="auto"/>
        <w:jc w:val="both"/>
      </w:pPr>
      <w:r>
        <w:rPr>
          <w:rFonts w:ascii="Times New Roman" w:cs="Times New Roman" w:eastAsia="Times New Roman" w:hAnsi="Times New Roman"/>
          <w:sz w:val="24"/>
          <w:szCs w:val="24"/>
        </w:rPr>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Hypoxic Burden HB3 (ρ = +0,618) de todo el sistema, funcionando como marcador de períodos de hipoxemia acumulada sostenida. Un clustering K = 3 sobre las features de escala M identificó tres arquetipos de trayectoria nocturna: Estable-Protector (~50 % de las noches, dominancia M0/M2), Carga Intermedia (~35 %, alternancia M4/M3) y Carga Hipóxica Alta (~15 %, alta fracción M1); el hallazgo clave es que este último arquetipo aparece en pacientes con categoría AASM Moderado, lo que sugiere que la carga hipóxica dinámica podría no estar completamente capturada por los índices de frecuencia.</w:t>
      </w:r>
    </w:p>
    <w:p>
      <w:pPr>
        <w:spacing w:after="160" w:before="80"/>
      </w:pPr>
      <w:r>
        <w:rPr>
          <w:rFonts w:ascii="Times New Roman" w:cs="Times New Roman" w:eastAsia="Times New Roman" w:hAnsi="Times New Roman"/>
          <w:i/>
          <w:iCs/>
          <w:color w:val="555555"/>
          <w:sz w:val="20"/>
          <w:szCs w:val="20"/>
        </w:rPr>
        <w:t xml:space="preserve">▸ Figura complementaria en Anexo Suplementario: Fig. 5.3 (perfil fisiológico de los cinco estados de escala M).</w:t>
      </w:r>
    </w:p>
    <w:p>
      <w:pPr>
        <w:pStyle w:val="Heading2"/>
        <w:spacing w:after="120" w:before="300"/>
      </w:pPr>
      <w:r>
        <w:rPr>
          <w:rFonts w:ascii="Times New Roman" w:cs="Times New Roman" w:eastAsia="Times New Roman" w:hAnsi="Times New Roman"/>
          <w:b/>
          <w:bCs/>
          <w:sz w:val="26"/>
          <w:szCs w:val="26"/>
        </w:rPr>
        <w:t xml:space="preserve">5.4  PAC States escala L — arquitectura global</w:t>
      </w:r>
    </w:p>
    <w:p>
      <w:pPr>
        <w:spacing w:after="200" w:before="0" w:line="360" w:lineRule="auto"/>
        <w:jc w:val="both"/>
      </w:pPr>
      <w:r>
        <w:rPr>
          <w:rFonts w:ascii="Times New Roman" w:cs="Times New Roman" w:eastAsia="Times New Roman" w:hAnsi="Times New Roman"/>
          <w:sz w:val="24"/>
          <w:szCs w:val="24"/>
        </w:rPr>
        <w:t xml:space="preserve">Los estados L (ventanas de 30 min, K = 4) describen la arquitectura hipóxica de la noche. L0 (~13 %) es el polo de hipoxemia sostenida, con las correlaciones más intensas con T90 (ρ = +0,705) y HB3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pPr>
        <w:pStyle w:val="Heading2"/>
        <w:spacing w:after="120" w:before="300"/>
      </w:pPr>
      <w:r>
        <w:rPr>
          <w:rFonts w:ascii="Times New Roman" w:cs="Times New Roman" w:eastAsia="Times New Roman" w:hAnsi="Times New Roman"/>
          <w:b/>
          <w:bCs/>
          <w:sz w:val="26"/>
          <w:szCs w:val="26"/>
        </w:rPr>
        <w:t xml:space="preserve">5.5  Features nocturnas multiescala derivadas</w:t>
      </w:r>
    </w:p>
    <w:p>
      <w:pPr>
        <w:spacing w:after="200" w:before="0" w:line="360" w:lineRule="auto"/>
        <w:jc w:val="both"/>
      </w:pPr>
      <w:r>
        <w:rPr>
          <w:rFonts w:ascii="Times New Roman" w:cs="Times New Roman" w:eastAsia="Times New Roman" w:hAnsi="Times New Roman"/>
          <w:sz w:val="24"/>
          <w:szCs w:val="24"/>
        </w:rPr>
        <w:t xml:space="preserve">Para cada noche, el sistema PAC States produce 21 features dinámicas: 15 fracciones de estado (frac_s_S0–S5 excluyendo S6; frac_m_M0–M4; frac_l_L0–L3), 3 entropías de Shannon por escala (captura de desorden y regularidad de la distribución de estados) y 3 tasas de transición (número de cambios entre estados distintos, normalizado por duración de la noche). Un PCA sobre esta matriz de 560 noches explica el 29,2 % en PC1, con loadings dominantes en frac_s_S2, frac_s_S1 y frac_m_M0: la primera dimensión de variación entre noches está determinada por la fracción de tiempo en estados de baja carga. Estas 21 features se incorporan a nights.parquet como insumo de los modelos del Capítulo 6.</w:t>
      </w:r>
    </w:p>
    <w:p>
      <w:pPr>
        <w:pStyle w:val="Heading2"/>
        <w:spacing w:after="120" w:before="300"/>
      </w:pPr>
      <w:r>
        <w:rPr>
          <w:rFonts w:ascii="Times New Roman" w:cs="Times New Roman" w:eastAsia="Times New Roman" w:hAnsi="Times New Roman"/>
          <w:b/>
          <w:bCs/>
          <w:sz w:val="26"/>
          <w:szCs w:val="26"/>
        </w:rPr>
        <w:t xml:space="preserve">5.6  Especialización funcional por escala — hallazgo central</w:t>
      </w:r>
    </w:p>
    <w:p>
      <w:pPr>
        <w:spacing w:after="200" w:before="0" w:line="360" w:lineRule="auto"/>
        <w:jc w:val="both"/>
      </w:pPr>
      <w:r>
        <w:rPr>
          <w:rFonts w:ascii="Times New Roman" w:cs="Times New Roman" w:eastAsia="Times New Roman" w:hAnsi="Times New Roman"/>
          <w:sz w:val="24"/>
          <w:szCs w:val="24"/>
        </w:rPr>
        <w:t xml:space="preserve">El hallazgo más relevante emerge al comparar, para cada dimensión fisiológica nocturna, qué estado y qué escala presentan la correlación más alta. La Tabla 5.3 cristaliza la respuesta: las cuatro dimensiones de la fisiopatología nocturna se expresan de forma preferencial en escalas distintas. Ninguna escala sola captura las cuatro dimensiones: la representación multiescala es necesaria para una caracterización completa de la noche.</w:t>
      </w:r>
    </w:p>
    <w:p>
      <w:pPr>
        <w:spacing w:after="60" w:before="200"/>
      </w:pPr>
      <w:r>
        <w:rPr>
          <w:rFonts w:ascii="Times New Roman" w:cs="Times New Roman" w:eastAsia="Times New Roman" w:hAnsi="Times New Roman"/>
          <w:b/>
          <w:bCs/>
          <w:sz w:val="20"/>
          <w:szCs w:val="20"/>
        </w:rPr>
        <w:t xml:space="preserve">Tabla 5.3. Especialización funcional de escalas PAC States por dimensión fisiológica nocturna (NB04, n = 560 noches).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500"/>
        <w:gridCol w:w="1700"/>
        <w:gridCol w:w="12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Dimensión fisiológica</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Métrica</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Mejor estado</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Escala óptima</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ρ Spearman</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Frecuencia de eventos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ODI3 / AHI3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 (corta)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+0,691</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Carga hipóxica acumulada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T90 (frac)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 (intermedia)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+0,744</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Carga hipóxica acumulada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HB3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 (intermedia)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+0,618</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Reactividad autonómica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ARI (media)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 (corta)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+0,637</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Arquitectura hipóxica global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T90 (min)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 (larga)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+0,705</w:t>
            </w:r>
          </w:p>
        </w:tc>
      </w:tr>
    </w:tbl>
    <w:p>
      <w:pPr>
        <w:spacing w:after="100" w:before="0" w:line="300" w:lineRule="auto"/>
        <w:jc w:val="both"/>
      </w:pPr>
      <w:r>
        <w:rPr>
          <w:rFonts w:ascii="Times New Roman" w:cs="Times New Roman" w:eastAsia="Times New Roman" w:hAnsi="Times New Roman"/>
          <w:i/>
          <w:iCs/>
          <w:sz w:val="20"/>
          <w:szCs w:val="20"/>
        </w:rPr>
        <w:t xml:space="preserve">Nota. Correlaciones de Spearman sobre n = 560 noches, cohorte completa. AHI3: índice apneas-hipopneas umbral 3 pp. HB3: Hypoxic Burden umbral 3 pp.</w:t>
      </w:r>
    </w:p>
    <w:p>
      <w:pPr>
        <w:spacing w:after="200" w:before="0" w:line="360" w:lineRule="auto"/>
        <w:jc w:val="both"/>
      </w:pPr>
      <w:r>
        <w:rPr>
          <w:rFonts w:ascii="Times New Roman" w:cs="Times New Roman" w:eastAsia="Times New Roman" w:hAnsi="Times New Roman"/>
          <w:sz w:val="24"/>
          <w:szCs w:val="24"/>
        </w:rPr>
        <w:t xml:space="preserve">La frecuencia de eventos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puede reducirse a un único índice: cada escala temporal es una ventana a una dimensión distinta de la misma fisiopatología. El fenotipo de Carga Hipóxica Alta identificado por clustering K = 3 sobre el espacio PCA multiescala aparece en pacientes de categorías AASM Moderado y Grave —no exclusivamente en los más severos—, lo que sugiere que el perfil dinámico nocturno puede identificar cargas hipóxicas que los índices de frecuencia convencionales subestiman.</w:t>
      </w:r>
    </w:p>
    <w:p>
      <w:pPr>
        <w:spacing w:after="160" w:before="80"/>
      </w:pPr>
      <w:r>
        <w:rPr>
          <w:rFonts w:ascii="Times New Roman" w:cs="Times New Roman" w:eastAsia="Times New Roman" w:hAnsi="Times New Roman"/>
          <w:i/>
          <w:iCs/>
          <w:color w:val="555555"/>
          <w:sz w:val="20"/>
          <w:szCs w:val="20"/>
        </w:rPr>
        <w:t xml:space="preserve">▸ Figura complementaria en Anexo Suplementario: Fig. 5.4 (mapa de correlaciones multiescala S + M + L), Fig. 5.5 (PCA multiescala y fenotipos K = 3, proyección 560 noches).</w:t>
      </w:r>
    </w:p>
    <w:p>
      <w:pPr>
        <w:pStyle w:val="Heading2"/>
        <w:spacing w:after="120" w:before="300"/>
      </w:pPr>
      <w:r>
        <w:rPr>
          <w:rFonts w:ascii="Times New Roman" w:cs="Times New Roman" w:eastAsia="Times New Roman" w:hAnsi="Times New Roman"/>
          <w:b/>
          <w:bCs/>
          <w:sz w:val="26"/>
          <w:szCs w:val="26"/>
        </w:rPr>
        <w:t xml:space="preserve">5.7  Síntesis y limitaciones</w:t>
      </w:r>
    </w:p>
    <w:p>
      <w:pPr>
        <w:spacing w:after="200" w:before="0" w:line="360" w:lineRule="auto"/>
        <w:jc w:val="both"/>
      </w:pPr>
      <w:r>
        <w:rPr>
          <w:rFonts w:ascii="Times New Roman" w:cs="Times New Roman" w:eastAsia="Times New Roman" w:hAnsi="Times New Roman"/>
          <w:sz w:val="24"/>
          <w:szCs w:val="24"/>
        </w:rPr>
        <w:t xml:space="preserve">El resultado más robusto del capítulo es la especialización funcional: S4 predice frecuencia, M1 predice carga hipóxica, S5 predice reactividad autonómica, L0 describe arquitectura global. Esta disociación implica que el SAOS nocturno no puede reducirse a un único estado ni a un único índice: la información sobre la noche está distribuida entre escalas temporales, y cada escala ilumina una dimensión distinta de la misma fisiopatología. La reactividad autonómica se expresa en el tiempo corto (30 s) y no en la arquitectura de la noche completa, lo que podría reflejar una propiedad del sistema cardiovascular que responde al estímulo hipóxico inmediato con independencia del patrón nocturno global.</w:t>
      </w:r>
    </w:p>
    <w:p>
      <w:pPr>
        <w:spacing w:after="200" w:before="0" w:line="360" w:lineRule="auto"/>
        <w:jc w:val="both"/>
      </w:pPr>
      <w:r>
        <w:rPr>
          <w:rFonts w:ascii="Times New Roman" w:cs="Times New Roman" w:eastAsia="Times New Roman" w:hAnsi="Times New Roman"/>
          <w:sz w:val="24"/>
          <w:szCs w:val="24"/>
        </w:rPr>
        <w:t xml:space="preserve">Las limitaciones del capítulo son las del proyecto: 12 pacientes, ausencia de PSG simultánea —las etapas de sueño son estimaciones basadas en FC y movimiento— y circularidad potencial dado que los clusters se entrenaron sobre la misma cohorte analizada. La especialización funcional observada deberá confirmarse en cohortes externas. El Capítulo 6 utiliza estas features multiescala como insumo de los modelos predictivos y cuantifica su contribución relativa mediante ablación LOPO-CV.</w:t>
      </w:r>
    </w:p>
    <w:p>
      <w:pPr>
        <w:spacing w:before="400"/>
      </w:pPr>
      <w:r>
        <w:rPr>
          <w:rFonts w:ascii="Times New Roman" w:cs="Times New Roman" w:eastAsia="Times New Roman" w:hAnsi="Times New Roman"/>
          <w:i/>
          <w:iCs/>
          <w:color w:val="444444"/>
          <w:sz w:val="24"/>
          <w:szCs w:val="24"/>
        </w:rPr>
        <w:t xml:space="preserve">Continúa en Capítulo 6 — Modelado Predictivo Basado en PAC</w:t>
      </w:r>
    </w:p>
    <w:sectPr>
      <w:pgSz w:w="11906" w:h="16838" w:orient="portrait"/>
      <w:pgMar w:top="1701" w:right="1418"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2026-06-02T18:44:39.185Z</dcterms:created>
  <dcterms:modified xsi:type="dcterms:W3CDTF">2026-06-02T18:44:39.185Z</dcterms:modified>
</cp:coreProperties>
</file>

<file path=docProps/custom.xml><?xml version="1.0" encoding="utf-8"?>
<Properties xmlns="http://schemas.openxmlformats.org/officeDocument/2006/custom-properties" xmlns:vt="http://schemas.openxmlformats.org/officeDocument/2006/docPropsVTypes"/>
</file>