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9C9A"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13D6F61"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2CE68EE4" w14:textId="77777777" w:rsidR="003B2DDA" w:rsidRPr="00876E5F" w:rsidRDefault="00000000" w:rsidP="00876E5F">
      <w:pPr>
        <w:spacing w:after="400"/>
        <w:rPr>
          <w:sz w:val="18"/>
          <w:szCs w:val="18"/>
        </w:rPr>
      </w:pPr>
      <w:r>
        <w:rPr>
          <w:i/>
          <w:iCs/>
          <w:color w:val="666666"/>
          <w:sz w:val="18"/>
          <w:szCs w:val="18"/>
        </w:rPr>
        <w:t>Versión 6  ·  Junio 2026</w:t>
      </w:r>
    </w:p>
    <w:p w14:paraId="5E772A89"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estableció que los EDOs no son fisiológicamente equivalentes: los cinco morfotipos C1–C5 y el ARI configuran una caracterización de nivel evento. Este capítulo escala esa lógica al contexto dinámico de la noche completa mediante representaciones de estados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5E77FD43"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0EAB833E" w14:textId="18697F66"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con correlación próxima a cero con el ODI3, lo que confirma que aporta información parcialmente independiente de la frecuencia de eventos y justifica su inclusión como feature en el sistema de estados. El punto de partida es la tabla de ventanas temporales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5D11814B"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300870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0C8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ED7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FE48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05222"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CBB0F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048DE"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757C41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A323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83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60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F21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B415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61479"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5A2A397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783F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5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BF0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1FA5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94C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869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3585A2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AC34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2D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1BFA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ECD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6D9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F47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62B95BE7"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7C07899A"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4836CD3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796C4D09"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08CA0D67" w14:textId="4FB10536" w:rsidR="001629A8" w:rsidRPr="00876E5F" w:rsidRDefault="001629A8" w:rsidP="001629A8">
      <w:pPr>
        <w:pStyle w:val="font-claude-response-body"/>
        <w:spacing w:line="360" w:lineRule="auto"/>
        <w:jc w:val="both"/>
        <w:rPr>
          <w:rFonts w:asciiTheme="minorHAnsi" w:hAnsiTheme="minorHAnsi"/>
        </w:rPr>
      </w:pPr>
      <w:r w:rsidRPr="00A208CB">
        <w:rPr>
          <w:rFonts w:asciiTheme="minorHAnsi" w:hAnsiTheme="minorHAnsi"/>
        </w:rPr>
        <w:t xml:space="preserve">Los </w:t>
      </w:r>
      <w:r w:rsidRPr="00A208CB">
        <w:rPr>
          <w:rFonts w:asciiTheme="minorHAnsi" w:hAnsiTheme="minorHAnsi"/>
          <w:b/>
          <w:bCs/>
        </w:rPr>
        <w:t>estados S</w:t>
      </w:r>
      <w:r w:rsidRPr="00A208CB">
        <w:rPr>
          <w:rFonts w:asciiTheme="minorHAnsi" w:hAnsiTheme="minorHAnsi"/>
        </w:rPr>
        <w:t xml:space="preserve"> son las letras del alfabeto fisiológico nocturno: </w:t>
      </w:r>
      <w:r w:rsidRPr="00A208CB">
        <w:rPr>
          <w:rFonts w:asciiTheme="minorHAnsi" w:hAnsiTheme="minorHAnsi"/>
          <w:b/>
          <w:bCs/>
        </w:rPr>
        <w:t>S1</w:t>
      </w:r>
      <w:r w:rsidRPr="00A208CB">
        <w:rPr>
          <w:rFonts w:asciiTheme="minorHAnsi" w:hAnsiTheme="minorHAnsi"/>
        </w:rPr>
        <w:t xml:space="preserve"> aparece en los momentos de calma, </w:t>
      </w:r>
      <w:r w:rsidRPr="00A208CB">
        <w:rPr>
          <w:rFonts w:asciiTheme="minorHAnsi" w:hAnsiTheme="minorHAnsi"/>
          <w:b/>
          <w:bCs/>
        </w:rPr>
        <w:t>S4</w:t>
      </w:r>
      <w:r w:rsidRPr="00A208CB">
        <w:rPr>
          <w:rFonts w:asciiTheme="minorHAnsi" w:hAnsiTheme="minorHAnsi"/>
        </w:rPr>
        <w:t xml:space="preserve"> en los de mayor acumulación hipóxica.</w:t>
      </w:r>
    </w:p>
    <w:p w14:paraId="4AD4551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4ED1591A"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D987C4" w14:textId="77777777" w:rsidR="0001044A" w:rsidRDefault="00000000" w:rsidP="0001044A">
      <w:pPr>
        <w:spacing w:after="240" w:line="360" w:lineRule="auto"/>
        <w:jc w:val="both"/>
        <w:rPr>
          <w:rFonts w:asciiTheme="minorHAnsi" w:hAnsiTheme="minorHAnsi"/>
        </w:rPr>
      </w:pPr>
      <w:r>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w:t>
      </w:r>
      <w:r w:rsidRPr="0001044A">
        <w:rPr>
          <w:rFonts w:asciiTheme="minorHAnsi" w:hAnsiTheme="minorHAnsi"/>
        </w:rPr>
        <w:t xml:space="preserve">T90 (ρ = +0,744) y con el </w:t>
      </w:r>
      <w:r w:rsidRPr="0001044A">
        <w:rPr>
          <w:rFonts w:asciiTheme="minorHAnsi" w:hAnsiTheme="minorHAnsi"/>
          <w:i/>
          <w:iCs/>
        </w:rPr>
        <w:t>Hypoxic Burden</w:t>
      </w:r>
      <w:r w:rsidRPr="0001044A">
        <w:rPr>
          <w:rFonts w:asciiTheme="minorHAnsi" w:hAnsiTheme="minorHAnsi"/>
        </w:rPr>
        <w:t xml:space="preserve"> HB3 (ρ = +0,618) de todo el sistema, funcionando como marcador de períodos de hipoxemia acumulada sostenida. </w:t>
      </w:r>
    </w:p>
    <w:p w14:paraId="0B8C9B49" w14:textId="77777777" w:rsidR="0001044A" w:rsidRDefault="0001044A" w:rsidP="0001044A">
      <w:pPr>
        <w:spacing w:after="240" w:line="360" w:lineRule="auto"/>
        <w:jc w:val="both"/>
        <w:rPr>
          <w:rFonts w:asciiTheme="minorHAnsi" w:hAnsiTheme="minorHAnsi"/>
        </w:rPr>
      </w:pPr>
      <w:r w:rsidRPr="0001044A">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Lo llamativo es que este último perfil aparece en pacientes clasificados como Moderado por el ODI3, lo que sugiere que hay noches con hipoxemia dinámica sostenida que el índice de frecuencia no detecta.</w:t>
      </w:r>
    </w:p>
    <w:p w14:paraId="7076EE5F" w14:textId="09227FC7" w:rsidR="001629A8" w:rsidRPr="00876E5F" w:rsidRDefault="001629A8" w:rsidP="0001044A">
      <w:pPr>
        <w:spacing w:after="240" w:line="360" w:lineRule="auto"/>
        <w:jc w:val="both"/>
        <w:rPr>
          <w:rFonts w:asciiTheme="minorHAnsi" w:hAnsiTheme="minorHAnsi"/>
        </w:rPr>
      </w:pPr>
      <w:r w:rsidRPr="0001044A">
        <w:rPr>
          <w:rFonts w:asciiTheme="minorHAnsi" w:hAnsiTheme="minorHAnsi"/>
        </w:rPr>
        <w:t xml:space="preserve">Los estados M construyen las palabras: mientras </w:t>
      </w:r>
      <w:r w:rsidRPr="0001044A">
        <w:rPr>
          <w:rFonts w:asciiTheme="minorHAnsi" w:hAnsiTheme="minorHAnsi"/>
          <w:b/>
          <w:bCs/>
        </w:rPr>
        <w:t>M0</w:t>
      </w:r>
      <w:r w:rsidRPr="0001044A">
        <w:rPr>
          <w:rFonts w:asciiTheme="minorHAnsi" w:hAnsiTheme="minorHAnsi"/>
        </w:rPr>
        <w:t xml:space="preserve"> es el silencio entre estrofas, </w:t>
      </w:r>
      <w:r w:rsidRPr="0001044A">
        <w:rPr>
          <w:rFonts w:asciiTheme="minorHAnsi" w:hAnsiTheme="minorHAnsi"/>
          <w:b/>
          <w:bCs/>
        </w:rPr>
        <w:t>M1</w:t>
      </w:r>
      <w:r w:rsidRPr="0001044A">
        <w:rPr>
          <w:rFonts w:asciiTheme="minorHAnsi" w:hAnsiTheme="minorHAnsi"/>
        </w:rPr>
        <w:t xml:space="preserve"> es la palabra que se repite sin pausa (hipoxemia sostenida).</w:t>
      </w:r>
    </w:p>
    <w:p w14:paraId="45EB570F" w14:textId="6AB362CD"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w:t>
      </w:r>
      <w:r w:rsidR="008F0E9D">
        <w:rPr>
          <w:rFonts w:asciiTheme="minorHAnsi" w:hAnsiTheme="minorHAnsi"/>
          <w:i/>
          <w:iCs/>
          <w:color w:val="555555"/>
          <w:sz w:val="20"/>
          <w:szCs w:val="20"/>
        </w:rPr>
        <w:t>a</w:t>
      </w:r>
      <w:r>
        <w:rPr>
          <w:rFonts w:asciiTheme="minorHAnsi" w:hAnsiTheme="minorHAnsi"/>
          <w:i/>
          <w:iCs/>
          <w:color w:val="555555"/>
          <w:sz w:val="20"/>
          <w:szCs w:val="20"/>
        </w:rPr>
        <w:t xml:space="preserve"> en Anexo Suplementario: Fig. 5.3 (perfil fisiológico de los cinco estados de escala M)</w:t>
      </w:r>
    </w:p>
    <w:p w14:paraId="7077C465"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3DB650C0" w14:textId="77777777" w:rsidR="003B2DDA"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HB3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936A41C" w14:textId="1C32D721" w:rsidR="001629A8" w:rsidRPr="001629A8" w:rsidRDefault="001629A8" w:rsidP="001629A8">
      <w:pPr>
        <w:pStyle w:val="Ttulo2"/>
        <w:spacing w:line="360" w:lineRule="auto"/>
        <w:jc w:val="both"/>
        <w:rPr>
          <w:b w:val="0"/>
          <w:bCs w:val="0"/>
          <w:sz w:val="24"/>
          <w:szCs w:val="24"/>
        </w:rPr>
      </w:pPr>
      <w:r w:rsidRPr="005D67A9">
        <w:rPr>
          <w:b w:val="0"/>
          <w:bCs w:val="0"/>
          <w:sz w:val="24"/>
          <w:szCs w:val="24"/>
        </w:rPr>
        <w:lastRenderedPageBreak/>
        <w:t xml:space="preserve">Los </w:t>
      </w:r>
      <w:r w:rsidRPr="005D67A9">
        <w:rPr>
          <w:sz w:val="24"/>
          <w:szCs w:val="24"/>
        </w:rPr>
        <w:t>estados L</w:t>
      </w:r>
      <w:r w:rsidRPr="005D67A9">
        <w:rPr>
          <w:b w:val="0"/>
          <w:bCs w:val="0"/>
          <w:sz w:val="24"/>
          <w:szCs w:val="24"/>
        </w:rPr>
        <w:t xml:space="preserve"> escriben el poema completo: </w:t>
      </w:r>
      <w:r w:rsidRPr="005D67A9">
        <w:rPr>
          <w:sz w:val="24"/>
          <w:szCs w:val="24"/>
        </w:rPr>
        <w:t>L0</w:t>
      </w:r>
      <w:r w:rsidRPr="005D67A9">
        <w:rPr>
          <w:b w:val="0"/>
          <w:bCs w:val="0"/>
          <w:sz w:val="24"/>
          <w:szCs w:val="24"/>
        </w:rPr>
        <w:t xml:space="preserve"> es una oda a la noche que no encuentra resolución; </w:t>
      </w:r>
      <w:r w:rsidRPr="005D67A9">
        <w:rPr>
          <w:sz w:val="24"/>
          <w:szCs w:val="24"/>
        </w:rPr>
        <w:t>L3</w:t>
      </w:r>
      <w:r w:rsidRPr="005D67A9">
        <w:rPr>
          <w:b w:val="0"/>
          <w:bCs w:val="0"/>
          <w:sz w:val="24"/>
          <w:szCs w:val="24"/>
        </w:rPr>
        <w:t xml:space="preserve"> es el poema que, pese a la tensión, cierra en calma.</w:t>
      </w:r>
    </w:p>
    <w:p w14:paraId="1550784E" w14:textId="2B2B8F39"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1644AB8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6375CC82"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Para cada noche, el sistema PAC States produce 21 features dinámicas: 15 fracciones de estado (frac_s_S0–S5 excluyendo S6; frac_m_M0–M4; frac_l_L0–L3), 3 entropías de Shannon por escala (captura de desorden y regularidad de la distribución de estados) y 3 tasas de transición (número de cambios entre estados distintos, normalizado por duración de la noche). Un PCA sobre esta matriz de 560 noches explica el 29,2 % en PC1, con loadings dominantes en frac_s_S2, frac_s_S1 y frac_m_M0: la primera dimensión de variación entre noches está determinada por la fracción de tiempo en estados de baja carga. Estas 21 features se incorporan a nights.parquet como insumo de los modelos del Capítulo 6.</w:t>
      </w:r>
    </w:p>
    <w:p w14:paraId="39338F56" w14:textId="77777777" w:rsidR="003B2DDA" w:rsidRPr="00876E5F" w:rsidRDefault="00000000" w:rsidP="00876E5F">
      <w:pPr>
        <w:pStyle w:val="Ttulo2"/>
        <w:spacing w:line="360" w:lineRule="auto"/>
        <w:rPr>
          <w:rFonts w:asciiTheme="minorHAnsi" w:hAnsiTheme="minorHAnsi"/>
        </w:rPr>
      </w:pPr>
      <w:r>
        <w:rPr>
          <w:rFonts w:asciiTheme="minorHAnsi" w:hAnsiTheme="minorHAnsi"/>
        </w:rPr>
        <w:t>5.6  Especialización funcional por escala — hallazgo central</w:t>
      </w:r>
    </w:p>
    <w:p w14:paraId="0A0EB69B"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dimensión fisiológica nocturna,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es necesaria para una caracterización completa de la noche.</w:t>
      </w:r>
    </w:p>
    <w:p w14:paraId="717FFC0C"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2DDA" w:rsidRPr="00876E5F" w14:paraId="1F4EDE7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54A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555A7"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F3B3F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4B214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4997BC"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ρ Spearman</w:t>
            </w:r>
          </w:p>
        </w:tc>
      </w:tr>
      <w:tr w:rsidR="003B2DDA" w:rsidRPr="00876E5F" w14:paraId="5DB76F1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52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44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B1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E7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ADC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+0,691</w:t>
            </w:r>
          </w:p>
        </w:tc>
      </w:tr>
      <w:tr w:rsidR="003B2DDA" w:rsidRPr="00876E5F" w14:paraId="4DE0B29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21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9E2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F15D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6A03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E460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+0,744</w:t>
            </w:r>
          </w:p>
        </w:tc>
      </w:tr>
      <w:tr w:rsidR="003B2DDA" w:rsidRPr="00876E5F" w14:paraId="464D58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FC7D"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1DE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B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54B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CC8B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+0,618</w:t>
            </w:r>
          </w:p>
        </w:tc>
      </w:tr>
      <w:tr w:rsidR="003B2DDA" w:rsidRPr="00876E5F" w14:paraId="034508D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2FA7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808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21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C48C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F8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+0,637</w:t>
            </w:r>
          </w:p>
        </w:tc>
      </w:tr>
      <w:tr w:rsidR="003B2DDA" w:rsidRPr="00876E5F" w14:paraId="1C0C1EB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FD65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E01E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AE6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BF47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E6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+0,705</w:t>
            </w:r>
          </w:p>
        </w:tc>
      </w:tr>
    </w:tbl>
    <w:p w14:paraId="18024518" w14:textId="77777777" w:rsidR="003B2DDA" w:rsidRPr="00876E5F" w:rsidRDefault="00000000" w:rsidP="00523356">
      <w:pPr>
        <w:spacing w:after="100"/>
        <w:jc w:val="both"/>
        <w:rPr>
          <w:rFonts w:asciiTheme="minorHAnsi" w:hAnsiTheme="minorHAnsi"/>
        </w:rPr>
      </w:pPr>
      <w:r>
        <w:rPr>
          <w:rFonts w:asciiTheme="minorHAnsi" w:hAnsiTheme="minorHAnsi"/>
          <w:i/>
          <w:iCs/>
          <w:sz w:val="20"/>
          <w:szCs w:val="20"/>
        </w:rPr>
        <w:t>Nota. Correlaciones de Spearman sobre n = 560 noches, cohorte completa. AHI3: índice apneas-hipopneas umbral 3 pp. HB3: Hypoxic Burden umbral 3 pp.</w:t>
      </w:r>
    </w:p>
    <w:p w14:paraId="2A216690"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frecuencia de eventos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puede reducirse a un único índice: cada escala temporal es una ventana a una dimensión distinta de la misma fisiopatología. El fenotipo de Carga Hipóxica Alta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14:paraId="5E6868AB"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Suplementario: Fig. 5.5 (mapa de correlaciones multiescala S + M + L), Fig. 5.6 (PCA multiescala y fenotipos K = 3, proyección 560 noches).</w:t>
      </w:r>
    </w:p>
    <w:p w14:paraId="66845776"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20C6756B" w14:textId="77777777" w:rsidR="00434B3A" w:rsidRPr="00434B3A" w:rsidRDefault="00434B3A" w:rsidP="00434B3A">
      <w:pPr>
        <w:pStyle w:val="NormalWeb"/>
        <w:spacing w:line="360" w:lineRule="auto"/>
        <w:jc w:val="both"/>
        <w:rPr>
          <w:rFonts w:asciiTheme="minorHAnsi" w:hAnsiTheme="minorHAnsi"/>
        </w:rPr>
      </w:pPr>
      <w:r>
        <w:rPr>
          <w:rFonts w:asciiTheme="minorHAnsi" w:hAnsiTheme="minorHAnsi"/>
        </w:rPr>
        <w:t>El resultado más robusto del capítulo es la especialización funcional: S4 predice frecuencia,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789349A2" w14:textId="77777777" w:rsidR="00434B3A" w:rsidRPr="00434B3A" w:rsidRDefault="00434B3A" w:rsidP="00434B3A">
      <w:pPr>
        <w:pStyle w:val="NormalWeb"/>
        <w:spacing w:line="360" w:lineRule="auto"/>
        <w:jc w:val="both"/>
        <w:rPr>
          <w:rFonts w:asciiTheme="minorHAnsi" w:hAnsiTheme="minorHAnsi"/>
        </w:rPr>
      </w:pPr>
      <w:r>
        <w:rPr>
          <w:rFonts w:asciiTheme="minorHAnsi" w:hAnsiTheme="minorHAnsi"/>
        </w:rPr>
        <w:lastRenderedPageBreak/>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29A9F99" w14:textId="7B08A8A3" w:rsidR="003B2DDA" w:rsidRDefault="003B2DDA">
      <w:pPr>
        <w:spacing w:before="400"/>
      </w:pPr>
    </w:p>
    <w:sectPr w:rsidR="003B2DD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D6106" w14:textId="77777777" w:rsidR="00A256FB" w:rsidRDefault="00A256FB">
      <w:r>
        <w:separator/>
      </w:r>
    </w:p>
  </w:endnote>
  <w:endnote w:type="continuationSeparator" w:id="0">
    <w:p w14:paraId="5EF74E00" w14:textId="77777777" w:rsidR="00A256FB" w:rsidRDefault="00A2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2F7A"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8AA657D"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B246" w14:textId="77777777" w:rsidR="00A256FB" w:rsidRDefault="00A256FB">
      <w:r>
        <w:separator/>
      </w:r>
    </w:p>
  </w:footnote>
  <w:footnote w:type="continuationSeparator" w:id="0">
    <w:p w14:paraId="64C80B6D" w14:textId="77777777" w:rsidR="00A256FB" w:rsidRDefault="00A2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B834" w14:textId="45220F46"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1629A8"/>
    <w:rsid w:val="003209C3"/>
    <w:rsid w:val="003B2DDA"/>
    <w:rsid w:val="00434B3A"/>
    <w:rsid w:val="00523356"/>
    <w:rsid w:val="007D5BA6"/>
    <w:rsid w:val="00833978"/>
    <w:rsid w:val="00876E5F"/>
    <w:rsid w:val="008F0E9D"/>
    <w:rsid w:val="00A256FB"/>
    <w:rsid w:val="00A41D71"/>
    <w:rsid w:val="00A530A0"/>
    <w:rsid w:val="00E334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C64840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1584</Words>
  <Characters>8160</Characters>
  <Application>Microsoft Office Word</Application>
  <DocSecurity>0</DocSecurity>
  <Lines>185</Lines>
  <Paragraphs>98</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9</cp:revision>
  <dcterms:created xsi:type="dcterms:W3CDTF">2026-06-02T18:44:00Z</dcterms:created>
  <dcterms:modified xsi:type="dcterms:W3CDTF">2026-06-04T11:41:00Z</dcterms:modified>
</cp:coreProperties>
</file>