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9C9A"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13D6F61"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2CE68EE4" w14:textId="1A92CF49" w:rsidR="003B2DDA" w:rsidRPr="00876E5F" w:rsidRDefault="00000000" w:rsidP="00876E5F">
      <w:pPr>
        <w:spacing w:after="400"/>
        <w:rPr>
          <w:sz w:val="18"/>
          <w:szCs w:val="18"/>
        </w:rPr>
      </w:pPr>
      <w:r>
        <w:rPr>
          <w:i/>
          <w:iCs/>
          <w:color w:val="666666"/>
          <w:sz w:val="18"/>
          <w:szCs w:val="18"/>
        </w:rPr>
        <w:t>Versión 8  ·  Junio 2026</w:t>
      </w:r>
    </w:p>
    <w:p w14:paraId="5E772A89"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estableció que los EDOs no son fisiológicamente equivalentes: los cinco morfotipos C1–C5 y el ARI configuran una caracterización de nivel evento. Este capítulo escala esa lógica al contexto dinámico de la noche completa mediante representaciones de estados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5E77FD43"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0EAB833E" w14:textId="18697F66"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5D11814B"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300870C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0C8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DED7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FE48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05222"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CBB0F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048DE"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757C417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A323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5583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660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8F21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B415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61479"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5A2A397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783F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D5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4BF0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1FA5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94C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F869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3585A2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AC34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2D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1BFA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1ECD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6D9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3F47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62B95BE7"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7C07899A"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4836CD3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796C4D09"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08CA0D67" w14:textId="4FB10536"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4AD4551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4ED1591A"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D987C4" w14:textId="77777777" w:rsidR="0001044A" w:rsidRDefault="00000000" w:rsidP="0001044A">
      <w:pPr>
        <w:spacing w:after="240" w:line="360" w:lineRule="auto"/>
        <w:jc w:val="both"/>
        <w:rPr>
          <w:rFonts w:asciiTheme="minorHAnsi" w:hAnsiTheme="minorHAnsi"/>
        </w:rPr>
      </w:pPr>
      <w:r>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Pr>
          <w:rFonts w:asciiTheme="minorHAnsi" w:hAnsiTheme="minorHAnsi"/>
          <w:i/>
          <w:iCs/>
        </w:rPr>
        <w:t>Hypoxic Burden</w:t>
      </w:r>
      <w:r>
        <w:rPr>
          <w:rFonts w:asciiTheme="minorHAnsi" w:hAnsiTheme="minorHAnsi"/>
        </w:rPr>
        <w:t xml:space="preserve"> HB3 (ρ = +0,618) de todo el sistema, funcionando como marcador de períodos de hipoxemia acumulada sostenida. </w:t>
      </w:r>
    </w:p>
    <w:p w14:paraId="0B8C9B49" w14:textId="77777777" w:rsidR="0001044A" w:rsidRDefault="0001044A" w:rsidP="0001044A">
      <w:pPr>
        <w:spacing w:after="240" w:line="360" w:lineRule="auto"/>
        <w:jc w:val="both"/>
        <w:rPr>
          <w:rFonts w:asciiTheme="minorHAnsi" w:hAnsiTheme="minorHAnsi"/>
        </w:rPr>
      </w:pPr>
      <w:r>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Lo llamativo es que este último perfil aparece en pacientes clasificados como Moderado por el ODI3, lo que sugiere que hay noches con hipoxemia dinámica sostenida que el índice de frecuencia no detecta.</w:t>
      </w:r>
    </w:p>
    <w:p w14:paraId="7076EE5F" w14:textId="09227FC7" w:rsidR="001629A8" w:rsidRPr="00876E5F" w:rsidRDefault="001629A8" w:rsidP="0001044A">
      <w:pPr>
        <w:spacing w:after="240" w:line="360" w:lineRule="auto"/>
        <w:jc w:val="both"/>
        <w:rPr>
          <w:rFonts w:asciiTheme="minorHAnsi" w:hAnsiTheme="minorHAnsi"/>
        </w:rPr>
      </w:pPr>
      <w:r>
        <w:rPr>
          <w:rFonts w:asciiTheme="minorHAnsi" w:hAnsiTheme="minorHAnsi"/>
        </w:rPr>
        <w:t xml:space="preserve">Los estados M construyen las palabras: mientras </w:t>
      </w:r>
      <w:r>
        <w:rPr>
          <w:rFonts w:asciiTheme="minorHAnsi" w:hAnsiTheme="minorHAnsi"/>
          <w:b/>
          <w:bCs/>
        </w:rPr>
        <w:t>M0</w:t>
      </w:r>
      <w:r>
        <w:rPr>
          <w:rFonts w:asciiTheme="minorHAnsi" w:hAnsiTheme="minorHAnsi"/>
        </w:rPr>
        <w:t xml:space="preserve"> es el silencio entre estrofas, </w:t>
      </w:r>
      <w:r>
        <w:rPr>
          <w:rFonts w:asciiTheme="minorHAnsi" w:hAnsiTheme="minorHAnsi"/>
          <w:b/>
          <w:bCs/>
        </w:rPr>
        <w:t>M1</w:t>
      </w:r>
      <w:r>
        <w:rPr>
          <w:rFonts w:asciiTheme="minorHAnsi" w:hAnsiTheme="minorHAnsi"/>
        </w:rPr>
        <w:t xml:space="preserve"> es la palabra que se repite sin pausa (hipoxemia sostenida).</w:t>
      </w:r>
    </w:p>
    <w:p w14:paraId="45EB570F" w14:textId="6AB362CD"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5.3 (perfil fisiológico de los cinco estados de escala M).</w:t>
      </w:r>
    </w:p>
    <w:p w14:paraId="7077C465"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3DB650C0"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936A41C" w14:textId="1C32D721"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1550784E" w14:textId="2B2B8F39"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1644AB8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698EB5FB" w14:textId="77777777"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Para cada noche, el sistema Estados PAC produce 21 features dinámicas: 15 fracciones de estado (</w:t>
      </w:r>
      <w:r>
        <w:rPr>
          <w:rFonts w:asciiTheme="minorHAnsi" w:hAnsiTheme="minorHAnsi"/>
          <w:b w:val="0"/>
          <w:bCs w:val="0"/>
          <w:i/>
          <w:iCs/>
          <w:sz w:val="24"/>
          <w:szCs w:val="24"/>
        </w:rPr>
        <w:t>frac_s_S0–S5</w:t>
      </w:r>
      <w:r>
        <w:rPr>
          <w:rFonts w:asciiTheme="minorHAnsi" w:hAnsiTheme="minorHAnsi"/>
          <w:b w:val="0"/>
          <w:bCs w:val="0"/>
          <w:sz w:val="24"/>
          <w:szCs w:val="24"/>
        </w:rPr>
        <w:t xml:space="preserve"> excluyendo S6; </w:t>
      </w:r>
      <w:r>
        <w:rPr>
          <w:rFonts w:asciiTheme="minorHAnsi" w:hAnsiTheme="minorHAnsi"/>
          <w:b w:val="0"/>
          <w:bCs w:val="0"/>
          <w:i/>
          <w:iCs/>
          <w:sz w:val="24"/>
          <w:szCs w:val="24"/>
        </w:rPr>
        <w:t>frac_m_M0–M4</w:t>
      </w:r>
      <w:r>
        <w:rPr>
          <w:rFonts w:asciiTheme="minorHAnsi" w:hAnsiTheme="minorHAnsi"/>
          <w:b w:val="0"/>
          <w:bCs w:val="0"/>
          <w:sz w:val="24"/>
          <w:szCs w:val="24"/>
        </w:rPr>
        <w:t xml:space="preserve">; </w:t>
      </w:r>
      <w:r>
        <w:rPr>
          <w:rFonts w:asciiTheme="minorHAnsi" w:hAnsiTheme="minorHAnsi"/>
          <w:b w:val="0"/>
          <w:bCs w:val="0"/>
          <w:i/>
          <w:iCs/>
          <w:sz w:val="24"/>
          <w:szCs w:val="24"/>
        </w:rPr>
        <w:t>frac_l_L0–L3</w:t>
      </w:r>
      <w:r>
        <w:rPr>
          <w:rFonts w:asciiTheme="minorHAnsi" w:hAnsiTheme="minorHAnsi"/>
          <w:b w:val="0"/>
          <w:bCs w:val="0"/>
          <w:sz w:val="24"/>
          <w:szCs w:val="24"/>
        </w:rPr>
        <w:t xml:space="preserve">); 3 entropías de Shannon por escala (cada una un valor escalar en [0, 1] que captura el grado de concentración o dispersión de la distribución de estados durante esa noche) y 3 tasas de transición (número de cambios entre estados distintos, normalizado por duración de la noche). Un PCA sobre esta matriz de 560 noches explica el 29,2 % en PC1, con loadings dominantes en </w:t>
      </w:r>
      <w:r>
        <w:rPr>
          <w:rFonts w:asciiTheme="minorHAnsi" w:hAnsiTheme="minorHAnsi"/>
          <w:b w:val="0"/>
          <w:bCs w:val="0"/>
          <w:i/>
          <w:iCs/>
          <w:sz w:val="24"/>
          <w:szCs w:val="24"/>
        </w:rPr>
        <w:t>frac_s_S2, frac_s_S1 y frac_m_M0</w:t>
      </w:r>
      <w:r>
        <w:rPr>
          <w:rFonts w:asciiTheme="minorHAnsi" w:hAnsiTheme="minorHAnsi"/>
          <w:b w:val="0"/>
          <w:bCs w:val="0"/>
          <w:sz w:val="24"/>
          <w:szCs w:val="24"/>
        </w:rPr>
        <w:t xml:space="preserve">: la primera dimensión de variación entre noches está determinada por la fracción de tiempo en estados de baja carga. Estas 21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39338F56" w14:textId="6BD51B8C" w:rsidR="003B2DDA" w:rsidRPr="00AD52B2" w:rsidRDefault="00000000" w:rsidP="00AD52B2">
      <w:pPr>
        <w:pStyle w:val="Ttulo2"/>
        <w:rPr>
          <w:color w:val="002060"/>
        </w:rPr>
      </w:pPr>
      <w:r>
        <w:rPr>
          <w:color w:val="002060"/>
        </w:rPr>
        <w:t>5.6  Especialización funcional por escala — hallazgo central</w:t>
      </w:r>
    </w:p>
    <w:p w14:paraId="0A0EB69B" w14:textId="771FFC1F" w:rsidR="003B2DDA" w:rsidRPr="00AD52B2"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Ninguna escala sola captura las cuatro dimensiones: la representación multiescala sería necesaria para una caracterización completa de la noche.</w:t>
      </w:r>
    </w:p>
    <w:p w14:paraId="717FFC0C"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2DDA" w:rsidRPr="00876E5F" w14:paraId="1F4EDE7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F54A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4555A7"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F3B3F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4B214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4997BC"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ρ Spearman</w:t>
            </w:r>
          </w:p>
        </w:tc>
      </w:tr>
      <w:tr w:rsidR="003B2DDA" w:rsidRPr="00876E5F" w14:paraId="5DB76F1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852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44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8B1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0E7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0ADC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+0,691</w:t>
            </w:r>
          </w:p>
        </w:tc>
      </w:tr>
      <w:tr w:rsidR="003B2DDA" w:rsidRPr="00876E5F" w14:paraId="4DE0B29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21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9E2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F15D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6A03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E460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+0,744</w:t>
            </w:r>
          </w:p>
        </w:tc>
      </w:tr>
      <w:tr w:rsidR="003B2DDA" w:rsidRPr="00876E5F" w14:paraId="464D585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0FC7D"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31DE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HB3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E0B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54B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CC8B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+0,618</w:t>
            </w:r>
          </w:p>
        </w:tc>
      </w:tr>
      <w:tr w:rsidR="003B2DDA" w:rsidRPr="00876E5F" w14:paraId="034508D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2FA7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808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421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C48C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09F8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+0,637</w:t>
            </w:r>
          </w:p>
        </w:tc>
      </w:tr>
      <w:tr w:rsidR="003B2DDA" w:rsidRPr="00876E5F" w14:paraId="1C0C1EB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FD65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E01E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CAE6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BF47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D8E6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+0,705</w:t>
            </w:r>
          </w:p>
        </w:tc>
      </w:tr>
    </w:tbl>
    <w:p w14:paraId="18024518" w14:textId="77777777" w:rsidR="003B2DDA" w:rsidRPr="00876E5F" w:rsidRDefault="00000000" w:rsidP="00523356">
      <w:pPr>
        <w:spacing w:after="100"/>
        <w:jc w:val="both"/>
        <w:rPr>
          <w:rFonts w:asciiTheme="minorHAnsi" w:hAnsiTheme="minorHAnsi"/>
        </w:rPr>
      </w:pPr>
      <w:r>
        <w:rPr>
          <w:rFonts w:asciiTheme="minorHAnsi" w:hAnsiTheme="minorHAnsi"/>
          <w:i/>
          <w:iCs/>
          <w:sz w:val="20"/>
          <w:szCs w:val="20"/>
        </w:rPr>
        <w:t>Nota. Correlaciones de Spearman sobre n = 560 noches, cohorte completa. AHI3: índice apneas-hipopneas umbral 3 pp. HB3: Hypoxic Burden umbral 3 pp.</w:t>
      </w:r>
    </w:p>
    <w:p w14:paraId="2A216690" w14:textId="129BCF9A"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14:paraId="5E6868AB"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Suplementario: Fig. 5.5 (mapa de correlaciones multiescala S + M + L), Fig. 5.6 (PCA multiescala y fenotipos K = 3, proyección 560 noches).</w:t>
      </w:r>
    </w:p>
    <w:p w14:paraId="66845776"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20C6756B" w14:textId="6DDDC290" w:rsidR="00434B3A" w:rsidRDefault="00434B3A" w:rsidP="00434B3A">
      <w:pPr>
        <w:pStyle w:val="NormalWeb"/>
        <w:spacing w:line="360" w:lineRule="auto"/>
        <w:jc w:val="both"/>
        <w:rPr>
          <w:rFonts w:asciiTheme="minorHAnsi" w:hAnsiTheme="minorHAnsi"/>
        </w:rPr>
      </w:pPr>
      <w:r>
        <w:rPr>
          <w:rFonts w:asciiTheme="minorHAnsi" w:hAnsiTheme="minorHAnsi"/>
        </w:rPr>
        <w:t xml:space="preserve">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w:t>
        <w:lastRenderedPageBreak/>
        <w:t>una propiedad del sistema cardiovascular que responde al estímulo hipóxico inmediato con independencia del patrón nocturno.</w:t>
      </w:r>
    </w:p>
    <w:p w14:paraId="5191EC53"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789349A2" w14:textId="4E37E67B" w:rsidR="00434B3A" w:rsidRPr="00434B3A" w:rsidRDefault="00434B3A" w:rsidP="00434B3A">
      <w:pPr>
        <w:pStyle w:val="NormalWeb"/>
        <w:spacing w:line="360" w:lineRule="auto"/>
        <w:jc w:val="both"/>
        <w:rPr>
          <w:rFonts w:asciiTheme="minorHAnsi" w:hAnsiTheme="minorHAnsi"/>
        </w:rPr>
      </w:pPr>
      <w:r>
        <w:rPr>
          <w:rFonts w:asciiTheme="minorHAnsi" w:hAnsiTheme="minorHAnsi"/>
        </w:rPr>
        <w:t>Tres escalas, cuatro dimensiones, un mismo poema fisiológico: la noche del SAOS no tiene un solo verso sino una estructura completa.</w:t>
      </w:r>
    </w:p>
    <w:p w14:paraId="429A9F99" w14:textId="7B08A8A3" w:rsidR="003B2DDA" w:rsidRDefault="003B2DDA">
      <w:pPr>
        <w:spacing w:before="400"/>
      </w:pPr>
    </w:p>
    <w:sectPr w:rsidR="003B2DDA">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1C33" w14:textId="77777777" w:rsidR="001A42FA" w:rsidRDefault="001A42FA">
      <w:r>
        <w:separator/>
      </w:r>
    </w:p>
  </w:endnote>
  <w:endnote w:type="continuationSeparator" w:id="0">
    <w:p w14:paraId="6C227F5A" w14:textId="77777777" w:rsidR="001A42FA" w:rsidRDefault="001A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2F7A"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8AA657D"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CC6A" w14:textId="77777777" w:rsidR="001A42FA" w:rsidRDefault="001A42FA">
      <w:r>
        <w:separator/>
      </w:r>
    </w:p>
  </w:footnote>
  <w:footnote w:type="continuationSeparator" w:id="0">
    <w:p w14:paraId="7AC560C7" w14:textId="77777777" w:rsidR="001A42FA" w:rsidRDefault="001A4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B834" w14:textId="01ED5AF0"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E077F1">
      <w:rPr>
        <w:color w:val="747474" w:themeColor="background2" w:themeShade="80"/>
        <w:sz w:val="18"/>
        <w:szCs w:val="18"/>
      </w:rPr>
      <w:t>7</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1629A8"/>
    <w:rsid w:val="001A42FA"/>
    <w:rsid w:val="00293348"/>
    <w:rsid w:val="003209C3"/>
    <w:rsid w:val="003B2DDA"/>
    <w:rsid w:val="00434B3A"/>
    <w:rsid w:val="00523356"/>
    <w:rsid w:val="00783361"/>
    <w:rsid w:val="007D5BA6"/>
    <w:rsid w:val="00833978"/>
    <w:rsid w:val="00876E5F"/>
    <w:rsid w:val="008F0E9D"/>
    <w:rsid w:val="00A41D71"/>
    <w:rsid w:val="00A530A0"/>
    <w:rsid w:val="00AD52B2"/>
    <w:rsid w:val="00E077F1"/>
    <w:rsid w:val="00E334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C648408"/>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1622</Words>
  <Characters>8357</Characters>
  <Application>Microsoft Office Word</Application>
  <DocSecurity>0</DocSecurity>
  <Lines>189</Lines>
  <Paragraphs>100</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5</cp:revision>
  <dcterms:created xsi:type="dcterms:W3CDTF">2026-06-04T11:42:00Z</dcterms:created>
  <dcterms:modified xsi:type="dcterms:W3CDTF">2026-06-04T11:55:00Z</dcterms:modified>
</cp:coreProperties>
</file>