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10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spacing w:after="160" w:line="276" w:lineRule="auto"/>
        <w:jc w:val="both"/>
      </w:pPr>
      <w:r>
        <w:rPr>
          <w:rFonts w:ascii="Arial" w:cs="Arial" w:eastAsia="Arial" w:hAnsi="Arial"/>
          <w:b w:val="false"/>
          <w:bCs w:val="false"/>
          <w:i w:val="false"/>
          <w:iCs w:val="false"/>
          <w:sz w:val="22"/>
          <w:szCs w:val="22"/>
        </w:rPr>
        <w:t xml:space="preserve">La clave conceptual que atraviesa todo el capítulo puede formularse en términos de un vocabulario nocturno. El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por escala genera un conjunto finito de estados fisiológicos recurrentes: sus etiquetas (S0–S6, M0–M4, L0–L3) funcionan como las </w:t>
      </w:r>
      <w:r>
        <w:rPr>
          <w:rFonts w:ascii="Arial" w:cs="Arial" w:eastAsia="Arial" w:hAnsi="Arial"/>
          <w:b/>
          <w:bCs/>
          <w:i w:val="false"/>
          <w:iCs w:val="false"/>
          <w:sz w:val="22"/>
          <w:szCs w:val="22"/>
        </w:rPr>
        <w:t xml:space="preserve">letras de un alfabeto</w:t>
      </w:r>
      <w:r>
        <w:rPr>
          <w:rFonts w:ascii="Arial" w:cs="Arial" w:eastAsia="Arial" w:hAnsi="Arial"/>
          <w:b w:val="false"/>
          <w:bCs w:val="false"/>
          <w:i w:val="false"/>
          <w:iCs w:val="false"/>
          <w:sz w:val="22"/>
          <w:szCs w:val="22"/>
        </w:rP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rFonts w:ascii="Arial" w:cs="Arial" w:eastAsia="Arial" w:hAnsi="Arial"/>
          <w:b/>
          <w:bCs/>
          <w:i w:val="false"/>
          <w:iCs w:val="false"/>
          <w:sz w:val="22"/>
          <w:szCs w:val="22"/>
        </w:rPr>
        <w:t xml:space="preserve">texto que cada noche escribe con ese alfabeto</w:t>
      </w:r>
      <w:r>
        <w:rPr>
          <w:rFonts w:ascii="Arial" w:cs="Arial" w:eastAsia="Arial" w:hAnsi="Arial"/>
          <w:b w:val="false"/>
          <w:bCs w:val="false"/>
          <w:i w:val="false"/>
          <w:iCs w:val="false"/>
          <w:sz w:val="22"/>
          <w:szCs w:val="22"/>
        </w:rPr>
        <w:t xml:space="preserve">. Este capítulo construye ese vocabulario de forma escalonada: §5.2–5.4 definen las letras de cada escala; §5.5 las combina en un vector descriptivo de la noche; §5.6 identifica los fenotipos nocturnos (las palabras recurrentes); y §5.7 evalúa qué dimensiones de la fisiología nocturna quedan codificadas en ese lenguaje —y cuáles permanecen fuera de él—.</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560 noches quality cuentan con asignación de estado en las tres escalas S, M y L (el pipeline procesa la totalidad de la cohorte quality para el clustering multiescala).</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pPr>
        <w:spacing w:after="160" w:line="276" w:lineRule="auto"/>
        <w:jc w:val="both"/>
      </w:pPr>
      <w:r>
        <w:rPr>
          <w:rFonts w:ascii="Arial" w:cs="Arial" w:eastAsia="Arial" w:hAnsi="Arial"/>
          <w:b w:val="false"/>
          <w:bCs w:val="false"/>
          <w:i w:val="false"/>
          <w:iCs w:val="false"/>
          <w:sz w:val="22"/>
          <w:szCs w:val="22"/>
        </w:rP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pPr>
        <w:spacing w:after="160" w:line="276" w:lineRule="auto"/>
        <w:jc w:val="both"/>
      </w:pPr>
      <w:r>
        <w:rPr>
          <w:rFonts w:ascii="Arial" w:cs="Arial" w:eastAsia="Arial" w:hAnsi="Arial"/>
          <w:b w:val="false"/>
          <w:bCs w:val="false"/>
          <w:i w:val="false"/>
          <w:iCs w:val="false"/>
          <w:sz w:val="22"/>
          <w:szCs w:val="22"/>
        </w:rPr>
        <w:t xml:space="preserve">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S2 — Estado compatible con vigilia parcial y carga respiratoria moderada. </w:t>
      </w:r>
      <w:r>
        <w:rPr>
          <w:rFonts w:ascii="Arial" w:cs="Arial" w:eastAsia="Arial" w:hAnsi="Arial"/>
          <w:b w:val="false"/>
          <w:bCs w:val="false"/>
          <w:i w:val="false"/>
          <w:iCs w:val="false"/>
          <w:sz w:val="22"/>
          <w:szCs w:val="22"/>
        </w:rPr>
        <w:t xml:space="preserve">El segundo estado más frecuente de la escala S (~29 % del tiempo total), S2 se caracteriza por la mayor fracción de vigilia de los estados no-S6 (frac_wake = 0,287), con composición 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Fenotipos de escala M — clustering dentro de la escala media (K = 3)</w:t>
      </w:r>
    </w:p>
    <w:p>
      <w:pPr>
        <w:spacing w:after="160" w:line="276" w:lineRule="auto"/>
        <w:jc w:val="both"/>
      </w:pPr>
      <w:r>
        <w:rPr>
          <w:rFonts w:ascii="Arial" w:cs="Arial" w:eastAsia="Arial" w:hAnsi="Arial"/>
          <w:b w:val="false"/>
          <w:bCs w:val="false"/>
          <w:i w:val="false"/>
          <w:iCs w:val="false"/>
          <w:sz w:val="22"/>
          <w:szCs w:val="22"/>
        </w:rPr>
        <w:t xml:space="preserve">Es posible dar un paso adicional dentro de la escala M: en lugar de caracterizar cada estado individualmente, se puede preguntar qué tipos de noche emergen cuando se comparan las noches por su composición de palabras de escala M. Esto es diferente del análisis de §5.6.1, que utilizará el vector multiescala completo (S + M + L) para identificar fenotipos nocturnos globales. Aquí, el clustering opera exclusivamente sobre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de escala M (fracciones M0–M4, entropía y número de transiciones), aislando la contribución de la escala intermedia. 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se identificarían tres arquetipos nocturnos interpretables en términos de la composición de estados M:</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(ρ = +0,705 y ρ = −0,524, respectivamente).</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(15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(560 noches quality con estados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Con el vocabulario de letras (S, M, L) construido, la pregunta de mayor escala es si existen </w:t>
      </w:r>
      <w:r>
        <w:rPr>
          <w:rFonts w:ascii="Arial" w:cs="Arial" w:eastAsia="Arial" w:hAnsi="Arial"/>
          <w:b/>
          <w:bCs/>
          <w:i w:val="false"/>
          <w:iCs w:val="false"/>
          <w:sz w:val="22"/>
          <w:szCs w:val="22"/>
        </w:rPr>
        <w:t xml:space="preserve">tipos de texto reconocibles</w:t>
      </w:r>
      <w:r>
        <w:rPr>
          <w:rFonts w:ascii="Arial" w:cs="Arial" w:eastAsia="Arial" w:hAnsi="Arial"/>
          <w:b w:val="false"/>
          <w:bCs w:val="false"/>
          <w:i w:val="false"/>
          <w:iCs w:val="false"/>
          <w:sz w:val="22"/>
          <w:szCs w:val="22"/>
        </w:rP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completo, que integra las fracciones de estado de las tres escalas, las entropías y los números de transición.</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(560 noches quality).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9,0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19,6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18,6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0,034 entre ARI y profundidad de caída drop_pct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560 noches quality.</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vocabulario nocturno construido en este capítulo permite formular con mayor precisión tanto lo que el lenguaje PAC States nombra como lo que no puede nombrar. </w:t>
      </w:r>
      <w:r>
        <w:rPr>
          <w:rFonts w:ascii="Arial" w:cs="Arial" w:eastAsia="Arial" w:hAnsi="Arial"/>
          <w:b/>
          <w:bCs/>
          <w:i w:val="false"/>
          <w:iCs w:val="false"/>
          <w:sz w:val="22"/>
          <w:szCs w:val="22"/>
        </w:rPr>
        <w:t xml:space="preserve">Lo que el lenguaje nombraría</w:t>
      </w:r>
      <w:r>
        <w:rPr>
          <w:rFonts w:ascii="Arial" w:cs="Arial" w:eastAsia="Arial" w:hAnsi="Arial"/>
          <w:b w:val="false"/>
          <w:bCs w:val="false"/>
          <w:i w:val="false"/>
          <w:iCs w:val="false"/>
          <w:sz w:val="22"/>
          <w:szCs w:val="22"/>
        </w:rP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rFonts w:ascii="Arial" w:cs="Arial" w:eastAsia="Arial" w:hAnsi="Arial"/>
          <w:b/>
          <w:bCs/>
          <w:i w:val="false"/>
          <w:iCs w:val="false"/>
          <w:sz w:val="22"/>
          <w:szCs w:val="22"/>
        </w:rPr>
        <w:t xml:space="preserve">Lo que el lenguaje no nombraría</w:t>
      </w:r>
      <w:r>
        <w:rPr>
          <w:rFonts w:ascii="Arial" w:cs="Arial" w:eastAsia="Arial" w:hAnsi="Arial"/>
          <w:b w:val="false"/>
          <w:bCs w:val="false"/>
          <w:i w:val="false"/>
          <w:iCs w:val="false"/>
          <w:sz w:val="22"/>
          <w:szCs w:val="22"/>
        </w:rP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rFonts w:ascii="Arial" w:cs="Arial" w:eastAsia="Arial" w:hAnsi="Arial"/>
          <w:b w:val="false"/>
          <w:bCs w:val="false"/>
          <w:i/>
          <w:iCs/>
          <w:sz w:val="22"/>
          <w:szCs w:val="22"/>
        </w:rPr>
        <w:t xml:space="preserve">medir</w:t>
      </w:r>
      <w:r>
        <w:rPr>
          <w:rFonts w:ascii="Arial" w:cs="Arial" w:eastAsia="Arial" w:hAnsi="Arial"/>
          <w:b w:val="false"/>
          <w:bCs w:val="false"/>
          <w:i w:val="false"/>
          <w:iCs w:val="false"/>
          <w:sz w:val="22"/>
          <w:szCs w:val="22"/>
        </w:rPr>
        <w:t xml:space="preserve"> la reactividad autonómica —S5 la capturaría con ρ = +0,637— pero no predecirla desde la estructura hipóxica de la noche. Esa ortogonalidad sería, paradójicamente, el hallazgo más informativo del capítulo.</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drop_pct a nivel de evento (ρ = 0,034; §4.3),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Adicionalmente, los clusters obtenidos por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son particiones matemáticas del espacio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2026-05-26T12:02:47.591Z</dcterms:created>
  <dcterms:modified xsi:type="dcterms:W3CDTF">2026-05-26T12:02:47.592Z</dcterms:modified>
</cp:coreProperties>
</file>

<file path=docProps/custom.xml><?xml version="1.0" encoding="utf-8"?>
<Properties xmlns="http://schemas.openxmlformats.org/officeDocument/2006/custom-properties" xmlns:vt="http://schemas.openxmlformats.org/officeDocument/2006/docPropsVTypes"/>
</file>