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2  ·  Mayo 2026</w:t>
      </w:r>
    </w:p>
    <w:p>
      <w:pPr>
        <w:spacing w:after="160" w:line="276" w:lineRule="auto"/>
        <w:jc w:val="both"/>
      </w:pPr>
      <w:r>
        <w:rPr>
          <w:rFonts w:ascii="Arial" w:cs="Arial" w:eastAsia="Arial" w:hAnsi="Arial"/>
          <w:b w:val="false"/>
          <w:bCs w:val="false"/>
          <w:i w:val="false"/>
          <w:iCs w:val="false"/>
          <w:sz w:val="22"/>
          <w:szCs w:val="22"/>
        </w:rPr>
        <w:t xml:space="preserve">El capítulo anterior (§4.5)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Índice de Reactividad Autonómica (ARI) aportó una dimensión ortogonal a la severidad clásica (ρ = 0,035 con ODI3), sugiriendo que la fisiología nocturna contiene al menos dos componentes desacoplados: la carga hipóxica acumulada y la capacidad de respuesta del sistema autonómico. El presente capítulo desplaza el nivel de análisis desde el evento individual hacia la noche como unidad: busca caracterizar si la fisiología nocturna de los pacientes con trastornos respiratorios del sueño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El capítulo presenta la caracterización de esos estados, su relación con los morfotipos de Cap04 y con las métricas clínicas convencionales, y un hallazgo central que surge de la comparación entre escalas: la carga hipóxica acumulada y la reactividad autonómica operarían a resoluciones temporales distintas y serían capturadas por escalas PAC distintas. Esta propiedad constituye la base para el modelo predictivo que se desarrolla en el Capítulo 6.</w:t>
      </w:r>
    </w:p>
    <w:p>
      <w:pPr>
        <w:pStyle w:val="Heading2"/>
        <w:spacing w:after="120" w:before="320"/>
      </w:pPr>
      <w:r>
        <w:rPr>
          <w:rFonts w:ascii="Arial" w:cs="Arial" w:eastAsia="Arial" w:hAnsi="Arial"/>
          <w:b/>
          <w:bCs/>
          <w:color w:val="2E74B5"/>
          <w:sz w:val="26"/>
          <w:szCs w:val="26"/>
        </w:rPr>
        <w:t xml:space="preserve">5.1  Construcción del espacio de estados PAC (NB03)</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(fracción estimada de sueño profundo, REM, sueño ligero y vigilia). Este vector de 24 dimensiones resume el perfil fisiológico de cada segmento temporal independientemente de su escala.</w:t>
      </w:r>
    </w:p>
    <w:p>
      <w:pPr>
        <w:spacing w:after="160" w:line="276" w:lineRule="auto"/>
        <w:jc w:val="both"/>
      </w:pPr>
      <w:r>
        <w:rPr>
          <w:rFonts w:ascii="Arial" w:cs="Arial" w:eastAsia="Arial" w:hAnsi="Arial"/>
          <w:b w:val="false"/>
          <w:bCs w:val="false"/>
          <w:i w:val="false"/>
          <w:iCs w:val="false"/>
          <w:sz w:val="22"/>
          <w:szCs w:val="22"/>
        </w:rPr>
        <w:t xml:space="preserve">El sistema PAC States opera en tres resoluciones temporales paralelas y no jerárquicas (Tabla 5.1). A cada escala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el número de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y el modelo entrenado son propios de cada escala y no se comparten entre ellas. La elección de K se realizó mediante el método del codo y el coeficiente de Silhouette sobre el corpus de ventanas de la cohorte estricta (</w:t>
      </w:r>
      <w:r>
        <w:rPr>
          <w:rFonts w:ascii="Arial" w:cs="Arial" w:eastAsia="Arial" w:hAnsi="Arial"/>
          <w:b w:val="false"/>
          <w:bCs w:val="false"/>
          <w:i/>
          <w:iCs/>
          <w:sz w:val="22"/>
          <w:szCs w:val="22"/>
        </w:rPr>
        <w:t xml:space="preserve">cohort_strict</w:t>
      </w:r>
      <w:r>
        <w:rPr>
          <w:rFonts w:ascii="Arial" w:cs="Arial" w:eastAsia="Arial" w:hAnsi="Arial"/>
          <w:b w:val="false"/>
          <w:bCs w:val="false"/>
          <w:i w:val="false"/>
          <w:iCs w:val="false"/>
          <w:sz w:val="22"/>
          <w:szCs w:val="22"/>
        </w:rPr>
        <w:t xml:space="preserve">, 8 pacientes con 14 o más noches en calidad). Los modelos de producción se almacenaron en </w:t>
      </w:r>
      <w:r>
        <w:rPr>
          <w:rFonts w:ascii="Arial" w:cs="Arial" w:eastAsia="Arial" w:hAnsi="Arial"/>
          <w:b w:val="false"/>
          <w:bCs w:val="false"/>
          <w:i/>
          <w:iCs/>
          <w:sz w:val="22"/>
          <w:szCs w:val="22"/>
        </w:rPr>
        <w:t xml:space="preserve">models/</w:t>
      </w:r>
      <w:r>
        <w:rPr>
          <w:rFonts w:ascii="Arial" w:cs="Arial" w:eastAsia="Arial" w:hAnsi="Arial"/>
          <w:b w:val="false"/>
          <w:bCs w:val="false"/>
          <w:i w:val="false"/>
          <w:iCs w:val="false"/>
          <w:sz w:val="22"/>
          <w:szCs w:val="22"/>
        </w:rPr>
        <w:t xml:space="preserve"> y se reutilizan sobre el conjunto completo de 560 noches para la asignación de etiquetas.</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S0–S5</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432.723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0,382</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M0–M7</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42.944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0,289</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L0–L5</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6.746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0,182</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V de Cramér = medida de asociación entre estado PAC y morfotipo de evento (Chi-cuadrado). La asociación decrece con la escala temporal porque las ventanas largas integran mayor heterogeneidad morfológica. Transiciones: número total de cambios de estado observados en la cohorte completa (560 noches).</w:t>
      </w:r>
    </w:p>
    <w:p>
      <w:pPr>
        <w:spacing w:after="160" w:line="276" w:lineRule="auto"/>
        <w:jc w:val="both"/>
      </w:pPr>
      <w:r>
        <w:rPr>
          <w:rFonts w:ascii="Arial" w:cs="Arial" w:eastAsia="Arial" w:hAnsi="Arial"/>
          <w:b w:val="false"/>
          <w:bCs w:val="false"/>
          <w:i w:val="false"/>
          <w:iCs w:val="false"/>
          <w:sz w:val="22"/>
          <w:szCs w:val="22"/>
        </w:rPr>
        <w:t xml:space="preserve">La asociación entre estado PAC y morfotipo de evento —cuantificada con la V de Cramér sobre la distribución condicional P(morfotipo | estado)— resultó máxima en la escala S (V = 0,382) y decreció de forma monótona hacia la escala L (V = 0,182). Este gradiente no indica que la escala L sea menos informativa: refleja que las ventanas más cortas están fisiológicamente "más cerca" del evento individual, mientras que las ventanas largas integran mayor heterogeneidad morfológica y captarían un fenómeno distinto: la organización arquitectural de la noche.</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genera seis estados (S0–S5) a partir de ventanas de 30 segundos. Con 432.723 transiciones en la cohorte, es la escala con mayor densidad informativa por unidad temporal y la que captura la dinámica minuto a minuto de la fisiología nocturna. La asociación morfotipo–estado es la más intensa de las tres escalas (V de Cramér = 0,382), consistente con que el contexto fisiológico de 30 segundos es el más representativo del evento individual. Cuatro estados concentran la mayor parte del significado fisiológico relevante:</w:t>
      </w:r>
    </w:p>
    <w:p>
      <w:pPr>
        <w:spacing w:after="160" w:line="276" w:lineRule="auto"/>
        <w:jc w:val="both"/>
      </w:pPr>
      <w:r>
        <w:rPr>
          <w:rFonts w:ascii="Arial" w:cs="Arial" w:eastAsia="Arial" w:hAnsi="Arial"/>
          <w:b/>
          <w:bCs/>
          <w:i w:val="false"/>
          <w:iCs w:val="false"/>
          <w:sz w:val="22"/>
          <w:szCs w:val="22"/>
        </w:rPr>
        <w:t xml:space="preserve">S4 — Estado patológico de alta densidad de eventos. </w:t>
      </w:r>
      <w:r>
        <w:rPr>
          <w:rFonts w:ascii="Arial" w:cs="Arial" w:eastAsia="Arial" w:hAnsi="Arial"/>
          <w:b w:val="false"/>
          <w:bCs w:val="false"/>
          <w:i w:val="false"/>
          <w:iCs w:val="false"/>
          <w:sz w:val="22"/>
          <w:szCs w:val="22"/>
        </w:rPr>
        <w:t xml:space="preserve">Es el mejor predictor de frecuencia de desaturación en todo el sistema multiescala: la fracción nocturna de tiempo en S4 correlaciona con ODI3 (ρ = +0,690) y AHI3 (ρ = +0,691). Fisiológicamente, S4 corresponde a períodos de alta densidad de eventos con recuperación incompleta entre desaturaciones consecutivas. La fracción nocturna de S4 crece de forma casi monótona con la categoría AASM (Normal → Severo).</w:t>
      </w:r>
    </w:p>
    <w:p>
      <w:pPr>
        <w:spacing w:after="160" w:line="276" w:lineRule="auto"/>
        <w:jc w:val="both"/>
      </w:pPr>
      <w:r>
        <w:rPr>
          <w:rFonts w:ascii="Arial" w:cs="Arial" w:eastAsia="Arial" w:hAnsi="Arial"/>
          <w:b/>
          <w:bCs/>
          <w:i w:val="false"/>
          <w:iCs w:val="false"/>
          <w:sz w:val="22"/>
          <w:szCs w:val="22"/>
        </w:rPr>
        <w:t xml:space="preserve">S5 — Estado de reactividad autonómica máxima. </w:t>
      </w:r>
      <w:r>
        <w:rPr>
          <w:rFonts w:ascii="Arial" w:cs="Arial" w:eastAsia="Arial" w:hAnsi="Arial"/>
          <w:b w:val="false"/>
          <w:bCs w:val="false"/>
          <w:i w:val="false"/>
          <w:iCs w:val="false"/>
          <w:sz w:val="22"/>
          <w:szCs w:val="22"/>
        </w:rPr>
        <w:t xml:space="preserve">Este estado presenta el hallazgo más contraintuitivo del análisis de escala S: concentra la mayor correlación con el ARI en todo el sistema multiescala (ρ ARI_media = +0,637; ρ ARI_p90 = +0,658), pero la composición morfológica de sus eventos es predominantemente C1 (leve). El organismo respondería con alta ganancia cardíaca a eventos que los índices de desaturación clasifican como benignos. S5 materializa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de supresión autonómica. </w:t>
      </w:r>
      <w:r>
        <w:rPr>
          <w:rFonts w:ascii="Arial" w:cs="Arial" w:eastAsia="Arial" w:hAnsi="Arial"/>
          <w:b w:val="false"/>
          <w:bCs w:val="false"/>
          <w:i w:val="false"/>
          <w:iCs w:val="false"/>
          <w:sz w:val="22"/>
          <w:szCs w:val="22"/>
        </w:rPr>
        <w:t xml:space="preserve">Constituye el opuesto funcional de S5 (ρ ARI = −0,519). Corresponde a períodos donde los eventos generan escasa respuesta cardíaca y motora a pesar de morfología predominantemente C1. La interpretación más parsimoniosa es sueño profundo con umbral de arousal elevado.</w:t>
      </w:r>
    </w:p>
    <w:p>
      <w:pPr>
        <w:spacing w:after="160" w:line="276" w:lineRule="auto"/>
        <w:jc w:val="both"/>
      </w:pPr>
      <w:r>
        <w:rPr>
          <w:rFonts w:ascii="Arial" w:cs="Arial" w:eastAsia="Arial" w:hAnsi="Arial"/>
          <w:b/>
          <w:bCs/>
          <w:i w:val="false"/>
          <w:iCs w:val="false"/>
          <w:sz w:val="22"/>
          <w:szCs w:val="22"/>
        </w:rPr>
        <w:t xml:space="preserve">S6 — Estado de disrupción hipóxica concentrada. </w:t>
      </w:r>
      <w:r>
        <w:rPr>
          <w:rFonts w:ascii="Arial" w:cs="Arial" w:eastAsia="Arial" w:hAnsi="Arial"/>
          <w:b w:val="false"/>
          <w:bCs w:val="false"/>
          <w:i w:val="false"/>
          <w:iCs w:val="false"/>
          <w:sz w:val="22"/>
          <w:szCs w:val="22"/>
        </w:rPr>
        <w:t xml:space="preserve">Aunque menos frecuente, S6 concentra la mayor proporción de morfotipos severos de la escala S (28,1 % de eventos C4+C5) y la caída mediana de SpO₂ más profunda (−10,5 pp). Representa microepisodios de máxima disrupción hipóxica en ventanas de 30 segundos. S0 presenta la mayor fracción de vigilia y funciona como estado de transición sueño–vigilia.</w:t>
      </w:r>
    </w:p>
    <w:p>
      <w:pPr>
        <w:spacing w:after="0" w:before="160"/>
        <w:jc w:val="center"/>
      </w:pPr>
      <w:r>
        <w:drawing>
          <wp:inline distT="0" distB="0" distL="0" distR="0">
            <wp:extent cx="5448300" cy="30003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8300" cy="3000375"/>
                    </a:xfrm>
                    <a:prstGeom prst="rect">
                      <a:avLst/>
                    </a:prstGeom>
                  </pic:spPr>
                </pic:pic>
              </a:graphicData>
            </a:graphic>
          </wp:inline>
        </w:drawing>
      </w:r>
    </w:p>
    <w:p>
      <w:pPr>
        <w:spacing w:after="40" w:before="100"/>
      </w:pPr>
      <w:r>
        <w:rPr>
          <w:rFonts w:ascii="Arial" w:cs="Arial" w:eastAsia="Arial" w:hAnsi="Arial"/>
          <w:b/>
          <w:bCs/>
          <w:sz w:val="20"/>
          <w:szCs w:val="20"/>
        </w:rPr>
        <w:t xml:space="preserve">Figura 5.1. </w:t>
      </w:r>
      <w:r>
        <w:rPr>
          <w:rFonts w:ascii="Arial" w:cs="Arial" w:eastAsia="Arial" w:hAnsi="Arial"/>
          <w:sz w:val="20"/>
          <w:szCs w:val="20"/>
        </w:rPr>
        <w:t xml:space="preserve">Perfil fisiológico de los seis estados de escala S (S0–S5). Paneles con medianas de SpO₂, ganancia cardíaca (HR gain), fracción de morfotipos C4+C5 y correlación con ARI por estado. S4 lidera en severidad respiratoria; S5 lidera en HR gain con morfología leve; S3 muestra mínima respuesta autonómica.</w:t>
      </w:r>
    </w:p>
    <w:p>
      <w:pPr>
        <w:spacing w:after="220"/>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(S0–S5). Las barras muestran medianas; las líneas de error, el IQR. n = 432.723 transiciones, cohorte completa (560 noches).</w:t>
      </w:r>
    </w:p>
    <w:p>
      <w:pPr>
        <w:pStyle w:val="Heading2"/>
        <w:spacing w:after="120" w:before="320"/>
      </w:pPr>
      <w:r>
        <w:rPr>
          <w:rFonts w:ascii="Arial" w:cs="Arial" w:eastAsia="Arial" w:hAnsi="Arial"/>
          <w:b/>
          <w:bCs/>
          <w:color w:val="2E74B5"/>
          <w:sz w:val="26"/>
          <w:szCs w:val="26"/>
        </w:rPr>
        <w:t xml:space="preserve">5.3  PAC States escala M — regulación intermedia y trayectorias (NB04)</w:t>
      </w:r>
    </w:p>
    <w:p>
      <w:pPr>
        <w:spacing w:after="160" w:line="276" w:lineRule="auto"/>
        <w:jc w:val="both"/>
      </w:pPr>
      <w:r>
        <w:rPr>
          <w:rFonts w:ascii="Arial" w:cs="Arial" w:eastAsia="Arial" w:hAnsi="Arial"/>
          <w:b w:val="false"/>
          <w:bCs w:val="false"/>
          <w:i w:val="false"/>
          <w:iCs w:val="false"/>
          <w:sz w:val="22"/>
          <w:szCs w:val="22"/>
        </w:rPr>
        <w:t xml:space="preserve">La escala M genera ocho estados (M0–M7) a partir de ventanas de 5 minutos. Con 42.944 transiciones, sus estados capturan patrones de duración intermedia que reflejan la acumulación prolongada de hipoxemia, la alternancia entre fases de sueño y vigilia, y la organización en bloques de la arquitectura nocturna. El estado más frecuente en la cohorte es M6 (sueño estable con pocas desaturaciones).</w:t>
      </w:r>
    </w:p>
    <w:p>
      <w:pPr>
        <w:spacing w:after="160" w:line="276" w:lineRule="auto"/>
        <w:jc w:val="both"/>
      </w:pPr>
      <w:r>
        <w:rPr>
          <w:rFonts w:ascii="Arial" w:cs="Arial" w:eastAsia="Arial" w:hAnsi="Arial"/>
          <w:b w:val="false"/>
          <w:bCs w:val="false"/>
          <w:i w:val="false"/>
          <w:iCs w:val="false"/>
          <w:sz w:val="22"/>
          <w:szCs w:val="22"/>
        </w:rPr>
        <w:t xml:space="preserve">El hallazgo central de la escala M es que el estado M1 constituye el mejor predictor de carga hipóxica acumulada de todo el sistema multiescala. La fracción nocturna de tiempo en M1 correlaciona con T90 (ρ = +0,744) y con HB3 (ρ = +0,618), superando a cualquier estado de las escalas S o L. M1 concentra el 19,7 % de morfotipos severos (C4+C5) y corresponde a sueño ligero con SpO₂ sostenidamente deprimida: el tiempo acumulado en M1 podría determinar la carga hipóxica total de la noche de forma más directa que cualquier estado de resolución corta.</w:t>
      </w:r>
    </w:p>
    <w:p>
      <w:pPr>
        <w:spacing w:after="160" w:line="276" w:lineRule="auto"/>
        <w:jc w:val="both"/>
      </w:pPr>
      <w:r>
        <w:rPr>
          <w:rFonts w:ascii="Arial" w:cs="Arial" w:eastAsia="Arial" w:hAnsi="Arial"/>
          <w:b w:val="false"/>
          <w:bCs w:val="false"/>
          <w:i w:val="false"/>
          <w:iCs w:val="false"/>
          <w:sz w:val="22"/>
          <w:szCs w:val="22"/>
        </w:rPr>
        <w:t xml:space="preserve">Los estados M0 y M2 operan como estados protectores (ρ ODI3 ≈ −0,60): corresponden a vigilia, microdespertares o fases de recuperación activa. M3 presenta correlación negativa con el ARI (ρ = −0,329), consistente con su interpretación como sueño profundo (umbral autonómico elevado). Los estados M5 y M7 son los más patológicos de la escala M: concentran la mayor densidad de eventos C4+C5 y la mayor carga hipóxica por ventana.</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ocho estados de escala M (M0–M7). Paneles con medianas de T90, HB3, fracción de morfotipos severos y ARI por estado. M1 lidera en carga hipóxica acumulada; M0 y M2 actúan como estados protectores; M5 y M7 son los más patológicos.</w:t>
      </w:r>
    </w:p>
    <w:p>
      <w:pPr>
        <w:spacing w:after="220"/>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(M0–M7). Barras: mediana; líneas: IQR. n = 42.944 transiciones, cohorte completa.</w:t>
      </w:r>
    </w:p>
    <w:p>
      <w:pPr>
        <w:pStyle w:val="Heading3"/>
        <w:spacing w:after="80" w:before="240"/>
      </w:pPr>
      <w:r>
        <w:rPr>
          <w:rFonts w:ascii="Arial" w:cs="Arial" w:eastAsia="Arial" w:hAnsi="Arial"/>
          <w:b/>
          <w:bCs/>
          <w:color w:val="1F4D78"/>
          <w:sz w:val="24"/>
          <w:szCs w:val="24"/>
        </w:rPr>
        <w:t xml:space="preserve">5.3.1  Dinámica Markoviana de la escala M</w:t>
      </w:r>
    </w:p>
    <w:p>
      <w:pPr>
        <w:spacing w:after="160" w:line="276" w:lineRule="auto"/>
        <w:jc w:val="both"/>
      </w:pPr>
      <w:r>
        <w:rPr>
          <w:rFonts w:ascii="Arial" w:cs="Arial" w:eastAsia="Arial" w:hAnsi="Arial"/>
          <w:b w:val="false"/>
          <w:bCs w:val="false"/>
          <w:i w:val="false"/>
          <w:iCs w:val="false"/>
          <w:sz w:val="22"/>
          <w:szCs w:val="22"/>
        </w:rPr>
        <w:t xml:space="preserve">Las matrices de transición entre estados M, calculadas sobre 42.944 transiciones, revelan corredores de vulnerabilidad fisiológica. Las secuencias M6→M0→M5 y M2→M5 presentan las probabilidades más altas de derivar hacia el bloque patológico. Una vez que el sistema entra en M5 o M7, la probabilidad de permanecer en el bloque patológico es superior a la probabilidad de recuperación en el paso siguiente, evidenciando persistencia patológica a escala de 5 minutos. Las probabilidades de transición de la cadena de Markov se utilizan como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en el modelo NB07 del Capítulo 6.</w:t>
      </w:r>
    </w:p>
    <w:p>
      <w:pPr>
        <w:pStyle w:val="Heading3"/>
        <w:spacing w:after="80" w:before="240"/>
      </w:pPr>
      <w:r>
        <w:rPr>
          <w:rFonts w:ascii="Arial" w:cs="Arial" w:eastAsia="Arial" w:hAnsi="Arial"/>
          <w:b/>
          <w:bCs/>
          <w:color w:val="1F4D78"/>
          <w:sz w:val="24"/>
          <w:szCs w:val="24"/>
        </w:rPr>
        <w:t xml:space="preserve">5.3.2  Trayectorias nocturnas multiescala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7 características nocturnas de escala M (fracciones de M5 y M7, porcentaje de eventos severos, ARI medio, índice de acoplamiento, número de transiciones y entropía de estados), se identificaron tres arquetipos nocturnos clínicamente interpretables:</w:t>
      </w:r>
    </w:p>
    <w:p>
      <w:pPr>
        <w:spacing w:after="160" w:line="276" w:lineRule="auto"/>
        <w:jc w:val="both"/>
      </w:pPr>
      <w:r>
        <w:rPr>
          <w:rFonts w:ascii="Arial" w:cs="Arial" w:eastAsia="Arial" w:hAnsi="Arial"/>
          <w:b/>
          <w:bCs/>
          <w:i w:val="false"/>
          <w:iCs w:val="false"/>
          <w:sz w:val="22"/>
          <w:szCs w:val="22"/>
        </w:rPr>
        <w:t xml:space="preserve">Trayectoria A — Estable-Protector (~50 % de las noches): </w:t>
      </w:r>
      <w:r>
        <w:rPr>
          <w:rFonts w:ascii="Arial" w:cs="Arial" w:eastAsia="Arial" w:hAnsi="Arial"/>
          <w:b w:val="false"/>
          <w:bCs w:val="false"/>
          <w:i w:val="false"/>
          <w:iCs w:val="false"/>
          <w:sz w:val="22"/>
          <w:szCs w:val="22"/>
        </w:rPr>
        <w:t xml:space="preserve">dominancia de M6 y M2, baja fracción de estados patológicos, ARI medio–alto. Noches con pocas desaturaciones o desaturaciones leves bien toleradas autonómicamente.</w:t>
      </w:r>
    </w:p>
    <w:p>
      <w:pPr>
        <w:spacing w:after="160" w:line="276" w:lineRule="auto"/>
        <w:jc w:val="both"/>
      </w:pPr>
      <w:r>
        <w:rPr>
          <w:rFonts w:ascii="Arial" w:cs="Arial" w:eastAsia="Arial" w:hAnsi="Arial"/>
          <w:b/>
          <w:bCs/>
          <w:i w:val="false"/>
          <w:iCs w:val="false"/>
          <w:sz w:val="22"/>
          <w:szCs w:val="22"/>
        </w:rPr>
        <w:t xml:space="preserve">Trayectoria B — Carga Intermedia (~35 % de las noches): </w:t>
      </w:r>
      <w:r>
        <w:rPr>
          <w:rFonts w:ascii="Arial" w:cs="Arial" w:eastAsia="Arial" w:hAnsi="Arial"/>
          <w:b w:val="false"/>
          <w:bCs w:val="false"/>
          <w:i w:val="false"/>
          <w:iCs w:val="false"/>
          <w:sz w:val="22"/>
          <w:szCs w:val="22"/>
        </w:rPr>
        <w:t xml:space="preserve">alternancia entre estados protectores y patológicos, ODI3 moderado, ARI variable. Noches con carga hipóxica significativa pero con períodos de recuperación intercalados.</w:t>
      </w:r>
    </w:p>
    <w:p>
      <w:pPr>
        <w:spacing w:after="160" w:line="276" w:lineRule="auto"/>
        <w:jc w:val="both"/>
      </w:pPr>
      <w:r>
        <w:rPr>
          <w:rFonts w:ascii="Arial" w:cs="Arial" w:eastAsia="Arial" w:hAnsi="Arial"/>
          <w:b/>
          <w:bCs/>
          <w:i w:val="false"/>
          <w:iCs w:val="false"/>
          <w:sz w:val="22"/>
          <w:szCs w:val="22"/>
        </w:rPr>
        <w:t xml:space="preserve">Trayectoria C — Carga Hipóxica Alta (~15 % de las noches): </w:t>
      </w:r>
      <w:r>
        <w:rPr>
          <w:rFonts w:ascii="Arial" w:cs="Arial" w:eastAsia="Arial" w:hAnsi="Arial"/>
          <w:b w:val="false"/>
          <w:bCs w:val="false"/>
          <w:i w:val="false"/>
          <w:iCs w:val="false"/>
          <w:sz w:val="22"/>
          <w:szCs w:val="22"/>
        </w:rPr>
        <w:t xml:space="preserve">alta fracción de M5 y M7, baja fracción de M6, ARI bajo. Noches con morfotipos C4–C5 persistentes y escasa recuperación entre bloques patológicos.</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genera seis estados sobre ventanas de 30 minutos. Con solo 6.746 transiciones, es la escala de menor densidad de transición: la noche media presenta un número reducido de cambios de estado L, lo que es esperable dado que bloques de 30 minutos capturan tendencias sostenidas. La V de Cramér entre estado y morfotipo es la más baja (V = 0,182), consistente con que ventanas de 30 minutos integran heterogeneidad morfológica considerable.</w:t>
      </w:r>
    </w:p>
    <w:p>
      <w:pPr>
        <w:spacing w:after="160" w:line="276" w:lineRule="auto"/>
        <w:jc w:val="both"/>
      </w:pPr>
      <w:r>
        <w:rPr>
          <w:rFonts w:ascii="Arial" w:cs="Arial" w:eastAsia="Arial" w:hAnsi="Arial"/>
          <w:b/>
          <w:bCs/>
          <w:i w:val="false"/>
          <w:iCs w:val="false"/>
          <w:sz w:val="22"/>
          <w:szCs w:val="22"/>
        </w:rPr>
        <w:t xml:space="preserve">L0 — Arquitectura hipóxica sostenida</w:t>
      </w:r>
      <w:r>
        <w:rPr>
          <w:rFonts w:ascii="Arial" w:cs="Arial" w:eastAsia="Arial" w:hAnsi="Arial"/>
          <w:b w:val="false"/>
          <w:bCs w:val="false"/>
          <w:i w:val="false"/>
          <w:iCs w:val="false"/>
          <w:sz w:val="22"/>
          <w:szCs w:val="22"/>
        </w:rPr>
        <w:t xml:space="preserve"> ("la noche hipóxica"): se asocia positivamente con T90 (ρ = +0,705) y HB3 (ρ = +0,545). Representa bloques de 30 minutos dominados por SpO₂ sostenidamente deprimida.</w:t>
      </w:r>
    </w:p>
    <w:p>
      <w:pPr>
        <w:spacing w:after="160" w:line="276" w:lineRule="auto"/>
        <w:jc w:val="both"/>
      </w:pPr>
      <w:r>
        <w:rPr>
          <w:rFonts w:ascii="Arial" w:cs="Arial" w:eastAsia="Arial" w:hAnsi="Arial"/>
          <w:b/>
          <w:bCs/>
          <w:i w:val="false"/>
          <w:iCs w:val="false"/>
          <w:sz w:val="22"/>
          <w:szCs w:val="22"/>
        </w:rPr>
        <w:t xml:space="preserve">L3 — Arquitectura protectora</w:t>
      </w:r>
      <w:r>
        <w:rPr>
          <w:rFonts w:ascii="Arial" w:cs="Arial" w:eastAsia="Arial" w:hAnsi="Arial"/>
          <w:b w:val="false"/>
          <w:bCs w:val="false"/>
          <w:i w:val="false"/>
          <w:iCs w:val="false"/>
          <w:sz w:val="22"/>
          <w:szCs w:val="22"/>
        </w:rPr>
        <w:t xml:space="preserve"> ("la buena noche"): presenta la mayor correlación negativa con AHI3 (ρ = −0,668) y ODI3 (ρ = −0,676), consistente con sueño profundo sostenido y pocas interrupciones respiratorias.</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independiente sobre el ARI más allá de lo que capturan las escalas S y M: la reactividad autonómica es un fenómeno de resolución corta —respuesta cardíaca y motora en segundos— que la arquitectura global de 30 minutos no puede discriminar. Esta propiedad anticipa el hallazgo de especialización funcional de la sección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26 características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(20 variables): </w:t>
      </w:r>
      <w:r>
        <w:rPr>
          <w:rFonts w:ascii="Arial" w:cs="Arial" w:eastAsia="Arial" w:hAnsi="Arial"/>
          <w:b w:val="false"/>
          <w:bCs w:val="false"/>
          <w:i w:val="false"/>
          <w:iCs w:val="false"/>
          <w:sz w:val="22"/>
          <w:szCs w:val="22"/>
        </w:rPr>
        <w:t xml:space="preserve">fracción del tiempo nocturno en cada estado de escala S (6: frac_s_S0–S5), M (8: frac_m_M0–M7) y L (6: frac_l_L0–L5). Las fracciones dentro de cada escala suman 1,0.</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 y M5.</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frac_m_M7 y pct_severe— y el 25,3 % en PC2, dominado por entropía y transiciones de escala S. Los cinco primeros componentes acumulan el 78,4 % de la varianza total, sugiriendo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escala la predice mejor. La Tabla 5.2 sintetiza los mejores predictores PAC States para cada métrica clínica disponible en la cohorte.</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560 noches, cohorte completa. AHI3 = índice apnea-hipopnea estimado (ODI3); T90 = fracción de tiempo con SpO₂ &lt; 90 %; HB3 = carga hipóxica (Hypoxic Burden) umbral 3 %; ARI = Índice de Reactividad Autonómica (media nocturna). El mejor estado PAC para la arquitectura hipóxica global (L0) y para la carga acumulada (M1) comparten la misma métrica target (T90) pero desde escalas distintas, ilustrando la especialización temporal.</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es un fenómeno de escala corta —expresado en la densidad de ventanas de S4—. La carga hipóxica acumulada es un fenómeno de escala media —construida durante horas en M1—. Y la reactividad autonómica es también de escala corta, pero capturada por un estado diferente (S5), disociado de S4 por perfil morfológico: S5 tiene alta respuesta cardíaca con eventos predominantemente leves. Esta no-redundancia entre estados de la misma escala es clave: S4 y S5 son estados distintos de la escala S que podrían predecir dimensiones fisiológicas distintas.</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95900" cy="3600450"/>
                    </a:xfrm>
                    <a:prstGeom prst="rect">
                      <a:avLst/>
                    </a:prstGeom>
                  </pic:spPr>
                </pic:pic>
              </a:graphicData>
            </a:graphic>
          </wp:inline>
        </w:drawing>
      </w:r>
    </w:p>
    <w:p>
      <w:pPr>
        <w:spacing w:after="40" w:before="100"/>
      </w:pPr>
      <w:r>
        <w:rPr>
          <w:rFonts w:ascii="Arial" w:cs="Arial" w:eastAsia="Arial" w:hAnsi="Arial"/>
          <w:b/>
          <w:bCs/>
          <w:sz w:val="20"/>
          <w:szCs w:val="20"/>
        </w:rPr>
        <w:t xml:space="preserve">Figura 5.3.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w:t>
      </w:r>
    </w:p>
    <w:p>
      <w:pPr>
        <w:spacing w:after="220"/>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AHI3, ODI3, T90, HB3 y ARI en escala de métrica original.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26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son clínicamente interpretables (Figura 5.4):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claramente en el plano PC1–PC2, confirmando que el perfil multiescala PAC captura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fue prácticamente idéntico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en absoluto por reactividad autonómica. Lejos de ser una limitación, esta invarianza constituye la demostración estructural más directa de la ortogonalidad entre la arquitectura del sueño hipóxico y la respuesta autonómica: ambas dimensiones no son solo estadísticamente desacopladas (ρ = 0,035 a nivel de evento, §4.3) sino también estructuralmente independientes dentro del espacio nocturno multiescala.</w:t>
      </w:r>
    </w:p>
    <w:p>
      <w:pPr>
        <w:spacing w:after="0" w:before="160"/>
        <w:jc w:val="center"/>
      </w:pPr>
      <w:r>
        <w:drawing>
          <wp:inline distT="0" distB="0" distL="0" distR="0">
            <wp:extent cx="4572000" cy="33432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43275"/>
                    </a:xfrm>
                    <a:prstGeom prst="rect">
                      <a:avLst/>
                    </a:prstGeom>
                  </pic:spPr>
                </pic:pic>
              </a:graphicData>
            </a:graphic>
          </wp:inline>
        </w:drawing>
      </w:r>
    </w:p>
    <w:p>
      <w:pPr>
        <w:spacing w:after="40" w:before="100"/>
      </w:pPr>
      <w:r>
        <w:rPr>
          <w:rFonts w:ascii="Arial" w:cs="Arial" w:eastAsia="Arial" w:hAnsi="Arial"/>
          <w:b/>
          <w:bCs/>
          <w:sz w:val="20"/>
          <w:szCs w:val="20"/>
        </w:rPr>
        <w:t xml:space="preserve">Figura 5.4. </w:t>
      </w:r>
      <w:r>
        <w:rPr>
          <w:rFonts w:ascii="Arial" w:cs="Arial" w:eastAsia="Arial" w:hAnsi="Arial"/>
          <w:sz w:val="20"/>
          <w:szCs w:val="20"/>
        </w:rPr>
        <w:t xml:space="preserve">PCA multiescala y fenotipos nocturnos (K = 3). Proyección de 452 noches en el plano PC1–PC2, coloreadas por cluster K-means. Los tres clusters se diferencian en severidad hipóxica (PC1) pero son indistinguibles en ARI, confirmando la ortogonalidad estructural de ambas dimensiones.</w:t>
      </w:r>
    </w:p>
    <w:p>
      <w:pPr>
        <w:spacing w:after="220"/>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frac_m_M7, pct_severe); PC2 explica el 25,3 % (entropía y transiciones escala 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capturaría la microdinámica evento a evento —S4 como proxy de frecuencia de desaturación; S5 como estado de reactividad autonómica disociada de la carga hipóxica—. La escala M capturaría la acumulación hipóxica sostenida, con M1 como el estado que mejor predice T90 y HB3 en esta cohorte. La escala L describiría la tendencia arquitectural global de la noche,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sería ortogonal a ODI3 a nivel de evento (ρ = 0,035), sino que tampoco estaría codificado en la estructura temporal de la noche. Esto sugiere que la reactividad autonómica podría reflejar una propiedad del sistema cardiovascular del paciente que se expresaría de forma transversal a lo largo de toda la noche, independientemente de la arquitectura hipóxica.</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análisis predictivos); aunque la densidad longitudinal es alta (mediana 28 noches por paciente), el número de individuos restringe la generalización. La ausencia de polisomnografía concurrente impide validar la correspondencia de los estados PAC con estadios de sueño formales (NREM1/2/3, REM) y con el registro de flujo aéreo. Los morfotipos y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es necesaria antes de cualquier interpretación clínica definitiva. El sesgo hacia Leve–Moderado (59,6 % y 28,6 % respectivamente) implica que la caracterización de estados en pacientes con SAOS severo descansa sobre un subgrupo pequeño (25 noches severas).</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estas 26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cb7e5932c5177687dba0ba4c8e920fadae2042.png"/><Relationship Id="rId10" Type="http://schemas.openxmlformats.org/officeDocument/2006/relationships/image" Target="media/96977e823c78d28ed655be78034f32324a258a0e.png"/><Relationship Id="rId11" Type="http://schemas.openxmlformats.org/officeDocument/2006/relationships/image" Target="media/0d611002be315827990002210caaf9488f294c6f.png"/><Relationship Id="rId12" Type="http://schemas.openxmlformats.org/officeDocument/2006/relationships/image" Target="media/fe3bd5620189943a8fe97bc2774f693a53da55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2026-05-24T22:20:31.984Z</dcterms:created>
  <dcterms:modified xsi:type="dcterms:W3CDTF">2026-05-24T22:20:31.988Z</dcterms:modified>
</cp:coreProperties>
</file>

<file path=docProps/custom.xml><?xml version="1.0" encoding="utf-8"?>
<Properties xmlns="http://schemas.openxmlformats.org/officeDocument/2006/custom-properties" xmlns:vt="http://schemas.openxmlformats.org/officeDocument/2006/docPropsVTypes"/>
</file>