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 xml:space="preserve">Versión 5  ·  Mayo 2026</w:t>
      </w:r>
    </w:p>
    <w:p>
      <w:pPr>
        <w:spacing w:after="160" w:line="276" w:lineRule="auto"/>
        <w:jc w:val="both"/>
      </w:pPr>
      <w:r>
        <w:rPr>
          <w:rFonts w:ascii="Arial" w:cs="Arial" w:eastAsia="Arial" w:hAnsi="Arial"/>
          <w:b w:val="false"/>
          <w:bCs w:val="false"/>
          <w:i w:val="false"/>
          <w:iCs w:val="false"/>
          <w:sz w:val="22"/>
          <w:szCs w:val="22"/>
        </w:rPr>
        <w:t xml:space="preserve">Este capítulo integra los resultados de dos análisis del pipeline PAC_v3. </w:t>
      </w:r>
      <w:r>
        <w:rPr>
          <w:rFonts w:ascii="Arial" w:cs="Arial" w:eastAsia="Arial" w:hAnsi="Arial"/>
          <w:b/>
          <w:bCs/>
          <w:i w:val="false"/>
          <w:iCs w:val="false"/>
          <w:sz w:val="22"/>
          <w:szCs w:val="22"/>
        </w:rPr>
        <w:t xml:space="preserve">NB03</w:t>
      </w:r>
      <w:r>
        <w:rPr>
          <w:rFonts w:ascii="Arial" w:cs="Arial" w:eastAsia="Arial" w:hAnsi="Arial"/>
          <w:b w:val="false"/>
          <w:bCs w:val="false"/>
          <w:i w:val="false"/>
          <w:iCs w:val="false"/>
          <w:sz w:val="22"/>
          <w:szCs w:val="22"/>
        </w:rPr>
        <w:t xml:space="preserve"> valida el Índice de Reactividad Autonómica (ARI) como característica nocturna estable —mediante ICC(1,1) y análisis de estabilidad multinoche— y construye el vector de 24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por ventana temporal que alimenta el sistema de estados. </w:t>
      </w:r>
      <w:r>
        <w:rPr>
          <w:rFonts w:ascii="Arial" w:cs="Arial" w:eastAsia="Arial" w:hAnsi="Arial"/>
          <w:b/>
          <w:bCs/>
          <w:i w:val="false"/>
          <w:iCs w:val="false"/>
          <w:sz w:val="22"/>
          <w:szCs w:val="22"/>
        </w:rPr>
        <w:t xml:space="preserve">NB04</w:t>
      </w:r>
      <w:r>
        <w:rPr>
          <w:rFonts w:ascii="Arial" w:cs="Arial" w:eastAsia="Arial" w:hAnsi="Arial"/>
          <w:b w:val="false"/>
          <w:bCs w:val="false"/>
          <w:i w:val="false"/>
          <w:iCs w:val="false"/>
          <w:sz w:val="22"/>
          <w:szCs w:val="22"/>
        </w:rPr>
        <w:t xml:space="preserv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pPr>
        <w:spacing w:after="160" w:line="276" w:lineRule="auto"/>
        <w:jc w:val="both"/>
      </w:pPr>
      <w:r>
        <w:rPr>
          <w:rFonts w:ascii="Arial" w:cs="Arial" w:eastAsia="Arial" w:hAnsi="Arial"/>
          <w:b w:val="false"/>
          <w:bCs w:val="false"/>
          <w:i w:val="false"/>
          <w:iCs w:val="false"/>
          <w:sz w:val="22"/>
          <w:szCs w:val="22"/>
        </w:rPr>
        <w:t xml:space="preserve">El capítulo anterior (§4.5)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ARI aportó una dimensión débilmente correlacionada con la severidad clásica (ρ = 0,035 con ODI3),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pPr>
        <w:pStyle w:val="Heading2"/>
        <w:spacing w:after="120" w:before="320"/>
      </w:pPr>
      <w:r>
        <w:rPr>
          <w:rFonts w:ascii="Arial" w:cs="Arial" w:eastAsia="Arial" w:hAnsi="Arial"/>
          <w:b/>
          <w:bCs/>
          <w:color w:val="2E74B5"/>
          <w:sz w:val="26"/>
          <w:szCs w:val="26"/>
        </w:rPr>
        <w:t xml:space="preserve">5.1  Fundamentos del análisis multiescala (NB03)</w:t>
      </w:r>
    </w:p>
    <w:p>
      <w:pPr>
        <w:pStyle w:val="Heading3"/>
        <w:spacing w:after="80" w:before="240"/>
      </w:pPr>
      <w:r>
        <w:rPr>
          <w:rFonts w:ascii="Arial" w:cs="Arial" w:eastAsia="Arial" w:hAnsi="Arial"/>
          <w:b/>
          <w:bCs/>
          <w:color w:val="1F4D78"/>
          <w:sz w:val="24"/>
          <w:szCs w:val="24"/>
        </w:rPr>
        <w:t xml:space="preserve">5.1.1  Validación del ARI como característica nocturna estable</w:t>
      </w:r>
    </w:p>
    <w:p>
      <w:pPr>
        <w:spacing w:after="160" w:line="276" w:lineRule="auto"/>
        <w:jc w:val="both"/>
      </w:pPr>
      <w:r>
        <w:rPr>
          <w:rFonts w:ascii="Arial" w:cs="Arial" w:eastAsia="Arial" w:hAnsi="Arial"/>
          <w:b w:val="false"/>
          <w:bCs w:val="false"/>
          <w:i w:val="false"/>
          <w:iCs w:val="false"/>
          <w:sz w:val="22"/>
          <w:szCs w:val="22"/>
        </w:rPr>
        <w:t xml:space="preserve">El ARI fue calculado a nivel de evento individual en Cap04 (§4.3). Antes de incorporarlo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0,688,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pPr>
        <w:spacing w:after="160" w:line="276" w:lineRule="auto"/>
        <w:jc w:val="both"/>
      </w:pPr>
      <w:r>
        <w:rPr>
          <w:rFonts w:ascii="Arial" w:cs="Arial" w:eastAsia="Arial" w:hAnsi="Arial"/>
          <w:b w:val="false"/>
          <w:bCs w:val="false"/>
          <w:i w:val="false"/>
          <w:iCs w:val="false"/>
          <w:sz w:val="22"/>
          <w:szCs w:val="22"/>
        </w:rPr>
        <w:t xml:space="preserve">La baja correlación con ODI3 a nivel nocturno (ρ = 0,041) confirma que el ARI nocturno aportaría información no redundante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estados PAC, consistente con la débil correlación observada a nivel de evento (§4.3).</w:t>
      </w:r>
    </w:p>
    <w:p>
      <w:pPr>
        <w:spacing w:after="0" w:before="160"/>
        <w:jc w:val="center"/>
      </w:pPr>
      <w:r>
        <w:drawing>
          <wp:inline distT="0" distB="0" distL="0" distR="0">
            <wp:extent cx="5334000" cy="189547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5.1. </w:t>
      </w:r>
      <w:r>
        <w:rPr>
          <w:rFonts w:ascii="Arial" w:cs="Arial" w:eastAsia="Arial" w:hAnsi="Arial"/>
          <w:sz w:val="20"/>
          <w:szCs w:val="20"/>
        </w:rPr>
        <w:t xml:space="preserve">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Solo se muestran noches quality (n = 553). El orden es cronológico por fecha de registro. ICC(1,1) cohorte = 0,688.</w:t>
      </w:r>
    </w:p>
    <w:p>
      <w:pPr>
        <w:pStyle w:val="Heading3"/>
        <w:spacing w:after="80" w:before="240"/>
      </w:pPr>
      <w:r>
        <w:rPr>
          <w:rFonts w:ascii="Arial" w:cs="Arial" w:eastAsia="Arial" w:hAnsi="Arial"/>
          <w:b/>
          <w:bCs/>
          <w:color w:val="1F4D78"/>
          <w:sz w:val="24"/>
          <w:szCs w:val="24"/>
        </w:rPr>
        <w:t xml:space="preserve">5.1.2  Construcción del espacio de estados PAC</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PAC_v3 sobre las 560 noches de la cohorte. La Tabla 5.1 sintetiza los subconjuntos utilizados en los distintos análisis del capítulo.</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Subconjuntos de noches utilizados en los análisis de este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Subconjunto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pacientes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análisis</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Total registradas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Base de datos completa</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Con ≥1 EDO (quality)</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553</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Análisis de eventos y ARI</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Con estados S, M y L completos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452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PCA multiescala y clustering K=3</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Las 452 noches con estados completos corresponden a noches con asignación de estado en las tres escalas S, M y L simultáneamente. La diferencia respecto a las 553 noches quality se debe a noches con cobertura de señal insuficiente para construir ventanas en alguna de las escalas.</w:t>
      </w:r>
    </w:p>
    <w:p>
      <w:pPr>
        <w:spacing w:after="160" w:line="276" w:lineRule="auto"/>
        <w:jc w:val="both"/>
      </w:pPr>
      <w:r>
        <w:rPr>
          <w:rFonts w:ascii="Arial" w:cs="Arial" w:eastAsia="Arial" w:hAnsi="Arial"/>
          <w:b w:val="false"/>
          <w:bCs w:val="false"/>
          <w:i w:val="false"/>
          <w:iCs w:val="false"/>
          <w:sz w:val="22"/>
          <w:szCs w:val="22"/>
        </w:rP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w:t>
      </w:r>
      <w:r>
        <w:rPr>
          <w:rFonts w:ascii="Arial" w:cs="Arial" w:eastAsia="Arial" w:hAnsi="Arial"/>
          <w:b w:val="false"/>
          <w:bCs w:val="false"/>
          <w:i/>
          <w:iCs/>
          <w:sz w:val="22"/>
          <w:szCs w:val="22"/>
        </w:rPr>
        <w:t xml:space="preserve">frac_wake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frac_light_sleep</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frac_deep_sleep</w:t>
      </w:r>
      <w:r>
        <w:rPr>
          <w:rFonts w:ascii="Arial" w:cs="Arial" w:eastAsia="Arial" w:hAnsi="Arial"/>
          <w:b w:val="false"/>
          <w:bCs w:val="false"/>
          <w:i w:val="false"/>
          <w:iCs w:val="false"/>
          <w:sz w:val="22"/>
          <w:szCs w:val="22"/>
        </w:rPr>
        <w:t xml:space="preserve">). Estas tres fracciones provienen del algoritmo de estadificación interno del dispositivo SOMNI 6000, que estima el estadio a partir de FC y movimiento —sin referencia polisomnográfica—. La validación del pipeline sobre las 560 noches (</w:t>
      </w:r>
      <w:r>
        <w:rPr>
          <w:rFonts w:ascii="Arial" w:cs="Arial" w:eastAsia="Arial" w:hAnsi="Arial"/>
          <w:b w:val="false"/>
          <w:bCs w:val="false"/>
          <w:i/>
          <w:iCs/>
          <w:sz w:val="22"/>
          <w:szCs w:val="22"/>
        </w:rPr>
        <w:t xml:space="preserve">sleep_staging_validation</w:t>
      </w:r>
      <w:r>
        <w:rPr>
          <w:rFonts w:ascii="Arial" w:cs="Arial" w:eastAsia="Arial" w:hAnsi="Arial"/>
          <w:b w:val="false"/>
          <w:bCs w:val="false"/>
          <w:i w:val="false"/>
          <w:iCs w:val="false"/>
          <w:sz w:val="22"/>
          <w:szCs w:val="22"/>
        </w:rP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rFonts w:ascii="Arial" w:cs="Arial" w:eastAsia="Arial" w:hAnsi="Arial"/>
          <w:b w:val="false"/>
          <w:bCs w:val="false"/>
          <w:i/>
          <w:iCs/>
          <w:sz w:val="22"/>
          <w:szCs w:val="22"/>
        </w:rPr>
        <w:t xml:space="preserve">wake</w:t>
      </w:r>
      <w:r>
        <w:rPr>
          <w:rFonts w:ascii="Arial" w:cs="Arial" w:eastAsia="Arial" w:hAnsi="Arial"/>
          <w:b w:val="false"/>
          <w:bCs w:val="false"/>
          <w:i w:val="false"/>
          <w:iCs w:val="false"/>
          <w:sz w:val="22"/>
          <w:szCs w:val="22"/>
        </w:rPr>
        <w:t xml:space="preserve"> (raw = 0),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(raw = 1–2) y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(raw = 3). El término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es una convención operativa del pipeline y no equivale al estadio N3 clínico ni implica validación polisomnográfica. El sistema PAC States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—cada resolución temporal tiene su propio modelo entrenado sobre la cohorte estricta (8 pacientes, ≥14 noches)— generando vocabularios de estados no compartidos entre escalas (Tabla 5.2).</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0,356</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0,231</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0,196</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La escala S identifica siete estados (S0–S6) a partir de ventanas de 30 segundos. La asociación entre estado PAC y morfotipo de evento es la más intensa de las tres escalas (V de Cramér = 0,356), lo que es compatible con que el contexto fisiológico de 30 segundos sea el más representativo del evento individual. La Figura 5.2 muestra el perfil fisiológico de cada estado. Los estados más informativos para las dimensiones clínicas de interés son:</w:t>
      </w:r>
    </w:p>
    <w:p>
      <w:pPr>
        <w:spacing w:after="160" w:line="276" w:lineRule="auto"/>
        <w:jc w:val="both"/>
      </w:pPr>
      <w:r>
        <w:rPr>
          <w:rFonts w:ascii="Arial" w:cs="Arial" w:eastAsia="Arial" w:hAnsi="Arial"/>
          <w:b/>
          <w:bCs/>
          <w:i w:val="false"/>
          <w:iCs w:val="false"/>
          <w:sz w:val="22"/>
          <w:szCs w:val="22"/>
        </w:rPr>
        <w:t xml:space="preserve">S4 — Estado compatible con alta densidad de eventos respiratorios. </w:t>
      </w:r>
      <w:r>
        <w:rPr>
          <w:rFonts w:ascii="Arial" w:cs="Arial" w:eastAsia="Arial" w:hAnsi="Arial"/>
          <w:b w:val="false"/>
          <w:bCs w:val="false"/>
          <w:i w:val="false"/>
          <w:iCs w:val="false"/>
          <w:sz w:val="22"/>
          <w:szCs w:val="22"/>
        </w:rPr>
        <w:t xml:space="preserve">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pPr>
        <w:spacing w:after="160" w:line="276" w:lineRule="auto"/>
        <w:jc w:val="both"/>
      </w:pPr>
      <w:r>
        <w:rPr>
          <w:rFonts w:ascii="Arial" w:cs="Arial" w:eastAsia="Arial" w:hAnsi="Arial"/>
          <w:b/>
          <w:bCs/>
          <w:i w:val="false"/>
          <w:iCs w:val="false"/>
          <w:sz w:val="22"/>
          <w:szCs w:val="22"/>
        </w:rPr>
        <w:t xml:space="preserve">S5 — Estado compatible con reactividad autonómica máxima. </w:t>
      </w:r>
      <w:r>
        <w:rPr>
          <w:rFonts w:ascii="Arial" w:cs="Arial" w:eastAsia="Arial" w:hAnsi="Arial"/>
          <w:b w:val="false"/>
          <w:bCs w:val="false"/>
          <w:i w:val="false"/>
          <w:iCs w:val="false"/>
          <w:sz w:val="22"/>
          <w:szCs w:val="22"/>
        </w:rPr>
        <w:t xml:space="preserve">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compatible con supresión autonómica relativa. </w:t>
      </w:r>
      <w:r>
        <w:rPr>
          <w:rFonts w:ascii="Arial" w:cs="Arial" w:eastAsia="Arial" w:hAnsi="Arial"/>
          <w:b w:val="false"/>
          <w:bCs w:val="false"/>
          <w:i w:val="false"/>
          <w:iCs w:val="false"/>
          <w:sz w:val="22"/>
          <w:szCs w:val="22"/>
        </w:rPr>
        <w:t xml:space="preserve">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pPr>
        <w:spacing w:after="160" w:line="276" w:lineRule="auto"/>
        <w:jc w:val="both"/>
      </w:pPr>
      <w:r>
        <w:rPr>
          <w:rFonts w:ascii="Arial" w:cs="Arial" w:eastAsia="Arial" w:hAnsi="Arial"/>
          <w:b/>
          <w:bCs/>
          <w:i w:val="false"/>
          <w:iCs w:val="false"/>
          <w:sz w:val="22"/>
          <w:szCs w:val="22"/>
        </w:rPr>
        <w:t xml:space="preserve">S0 — Estado compatible con baja actividad respiratoria. </w:t>
      </w:r>
      <w:r>
        <w:rPr>
          <w:rFonts w:ascii="Arial" w:cs="Arial" w:eastAsia="Arial" w:hAnsi="Arial"/>
          <w:b w:val="false"/>
          <w:bCs w:val="false"/>
          <w:i w:val="false"/>
          <w:iCs w:val="false"/>
          <w:sz w:val="22"/>
          <w:szCs w:val="22"/>
        </w:rPr>
        <w:t xml:space="preserve">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0,868) con perfil de correlaciones similar a S0 pero de menor magnitud.</w:t>
      </w:r>
    </w:p>
    <w:p>
      <w:pPr>
        <w:spacing w:after="160" w:line="276" w:lineRule="auto"/>
        <w:jc w:val="both"/>
      </w:pPr>
      <w:r>
        <w:rPr>
          <w:rFonts w:ascii="Arial" w:cs="Arial" w:eastAsia="Arial" w:hAnsi="Arial"/>
          <w:b/>
          <w:bCs/>
          <w:i w:val="false"/>
          <w:iCs w:val="false"/>
          <w:sz w:val="22"/>
          <w:szCs w:val="22"/>
        </w:rPr>
        <w:t xml:space="preserve">S6 — Estado compatible con disrupción hipóxica concentrada. </w:t>
      </w:r>
      <w:r>
        <w:rPr>
          <w:rFonts w:ascii="Arial" w:cs="Arial" w:eastAsia="Arial" w:hAnsi="Arial"/>
          <w:b w:val="false"/>
          <w:bCs w:val="false"/>
          <w:i w:val="false"/>
          <w:iCs w:val="false"/>
          <w:sz w:val="22"/>
          <w:szCs w:val="22"/>
        </w:rPr>
        <w:t xml:space="preserve">Aunque es el estado más raro (~1 % de las ventanas), S6 concentra la mayor proporción de morfotipos severos (28,1 % de C4+C5) y la caída mediana de SpO₂ más profunda de toda la escala S (10,53 pp). Por su baja frecuencia, S6 no ingresa en la </w:t>
      </w:r>
      <w:r>
        <w:rPr>
          <w:rFonts w:ascii="Arial" w:cs="Arial" w:eastAsia="Arial" w:hAnsi="Arial"/>
          <w:b w:val="false"/>
          <w:bCs w:val="false"/>
          <w:i/>
          <w:iCs/>
          <w:sz w:val="22"/>
          <w:szCs w:val="22"/>
        </w:rPr>
        <w:t xml:space="preserve">feature matrix</w:t>
      </w:r>
      <w:r>
        <w:rPr>
          <w:rFonts w:ascii="Arial" w:cs="Arial" w:eastAsia="Arial" w:hAnsi="Arial"/>
          <w:b w:val="false"/>
          <w:bCs w:val="false"/>
          <w:i w:val="false"/>
          <w:iCs w:val="false"/>
          <w:sz w:val="22"/>
          <w:szCs w:val="22"/>
        </w:rP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pPr>
        <w:spacing w:after="0" w:before="160"/>
        <w:jc w:val="center"/>
      </w:pPr>
      <w:r>
        <w:drawing>
          <wp:inline distT="0" distB="0" distL="0" distR="0">
            <wp:extent cx="5448300" cy="30003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5.2. </w:t>
      </w:r>
      <w:r>
        <w:rPr>
          <w:rFonts w:ascii="Arial" w:cs="Arial" w:eastAsia="Arial" w:hAnsi="Arial"/>
          <w:sz w:val="20"/>
          <w:szCs w:val="20"/>
        </w:rPr>
        <w:t xml:space="preserve">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(S0–S6). Las barras muestran medianas; las líneas de error, el IQR. Los estados se ordenan por frecuencia decreciente (S1 ≈ 31 %, S2 ≈ 29 %, S0 ≈ 21 %, S3 ≈ 10 %, S4 ≈ 6 %, S5 ≈ 2 %, S6 ≈ 1 %).</w:t>
      </w:r>
    </w:p>
    <w:p>
      <w:pPr>
        <w:pStyle w:val="Heading2"/>
        <w:spacing w:after="120" w:before="320"/>
      </w:pPr>
      <w:r>
        <w:rPr>
          <w:rFonts w:ascii="Arial" w:cs="Arial" w:eastAsia="Arial" w:hAnsi="Arial"/>
          <w:b/>
          <w:bCs/>
          <w:color w:val="2E74B5"/>
          <w:sz w:val="26"/>
          <w:szCs w:val="26"/>
        </w:rPr>
        <w:t xml:space="preserve">5.3  PAC States escala M — regulación intermedia (NB04)</w:t>
      </w:r>
    </w:p>
    <w:p>
      <w:pPr>
        <w:spacing w:after="160" w:line="276" w:lineRule="auto"/>
        <w:jc w:val="both"/>
      </w:pPr>
      <w:r>
        <w:rPr>
          <w:rFonts w:ascii="Arial" w:cs="Arial" w:eastAsia="Arial" w:hAnsi="Arial"/>
          <w:b w:val="false"/>
          <w:bCs w:val="false"/>
          <w:i w:val="false"/>
          <w:iCs w:val="false"/>
          <w:sz w:val="22"/>
          <w:szCs w:val="22"/>
        </w:rPr>
        <w:t xml:space="preserve">La escala M identifica cinco estados (M0–M4) a partir de ventanas de 5 minutos. Sus estados capturan patrones de duración intermedia que reflejan la acumulación prolongada de hipoxemia y la organización en bloques de la noche. La asociación morfotipo–estado resulta menor que en la escala S (V de Cramér = 0,231), consistente con que las ventanas de 5 minutos integran mayor heterogeneidad morfológica que las de 30 segundos. La Figura 5.3 muestra el perfil fisiológico de cada estado.</w:t>
      </w:r>
    </w:p>
    <w:p>
      <w:pPr>
        <w:spacing w:after="160" w:line="276" w:lineRule="auto"/>
        <w:jc w:val="both"/>
      </w:pPr>
      <w:r>
        <w:rPr>
          <w:rFonts w:ascii="Arial" w:cs="Arial" w:eastAsia="Arial" w:hAnsi="Arial"/>
          <w:b/>
          <w:bCs/>
          <w:i w:val="false"/>
          <w:iCs w:val="false"/>
          <w:sz w:val="22"/>
          <w:szCs w:val="22"/>
        </w:rPr>
        <w:t xml:space="preserve">M0 y M2 — Estados protectores. </w:t>
      </w:r>
      <w:r>
        <w:rPr>
          <w:rFonts w:ascii="Arial" w:cs="Arial" w:eastAsia="Arial" w:hAnsi="Arial"/>
          <w:b w:val="false"/>
          <w:bCs w:val="false"/>
          <w:i w:val="false"/>
          <w:iCs w:val="false"/>
          <w:sz w:val="22"/>
          <w:szCs w:val="22"/>
        </w:rPr>
        <w:t xml:space="preserve">M0 (~27 % del tiempo) y M2 (~19 %) presentan las correlaciones negativas más intensas con AHI3 (M0: ρ = −0,622; M2: ρ = −0,602) y ODI3 (M0: ρ = −0,630; M2: ρ = −0,618). M0 se caracteriza por alta fracción de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0,818), compatible con transiciones de sueño con baja actividad patológica. M2, en contraste, 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pPr>
        <w:spacing w:after="160" w:line="276" w:lineRule="auto"/>
        <w:jc w:val="both"/>
      </w:pPr>
      <w:r>
        <w:rPr>
          <w:rFonts w:ascii="Arial" w:cs="Arial" w:eastAsia="Arial" w:hAnsi="Arial"/>
          <w:b/>
          <w:bCs/>
          <w:i w:val="false"/>
          <w:iCs w:val="false"/>
          <w:sz w:val="22"/>
          <w:szCs w:val="22"/>
        </w:rPr>
        <w:t xml:space="preserve">M1 — Estado compatible con carga hipóxica acumulada. </w:t>
      </w:r>
      <w:r>
        <w:rPr>
          <w:rFonts w:ascii="Arial" w:cs="Arial" w:eastAsia="Arial" w:hAnsi="Arial"/>
          <w:b w:val="false"/>
          <w:bCs w:val="false"/>
          <w:i w:val="false"/>
          <w:iCs w:val="false"/>
          <w:sz w:val="22"/>
          <w:szCs w:val="22"/>
        </w:rPr>
        <w:t xml:space="preserve">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pPr>
        <w:spacing w:after="160" w:line="276" w:lineRule="auto"/>
        <w:jc w:val="both"/>
      </w:pPr>
      <w:r>
        <w:rPr>
          <w:rFonts w:ascii="Arial" w:cs="Arial" w:eastAsia="Arial" w:hAnsi="Arial"/>
          <w:b/>
          <w:bCs/>
          <w:i w:val="false"/>
          <w:iCs w:val="false"/>
          <w:sz w:val="22"/>
          <w:szCs w:val="22"/>
        </w:rPr>
        <w:t xml:space="preserve">M3 — Estado compatible con supresión autonómica. </w:t>
      </w:r>
      <w:r>
        <w:rPr>
          <w:rFonts w:ascii="Arial" w:cs="Arial" w:eastAsia="Arial" w:hAnsi="Arial"/>
          <w:b w:val="false"/>
          <w:bCs w:val="false"/>
          <w:i w:val="false"/>
          <w:iCs w:val="false"/>
          <w:sz w:val="22"/>
          <w:szCs w:val="22"/>
        </w:rPr>
        <w:t xml:space="preserve">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pPr>
        <w:spacing w:after="160" w:line="276" w:lineRule="auto"/>
        <w:jc w:val="both"/>
      </w:pPr>
      <w:r>
        <w:rPr>
          <w:rFonts w:ascii="Arial" w:cs="Arial" w:eastAsia="Arial" w:hAnsi="Arial"/>
          <w:b/>
          <w:bCs/>
          <w:i w:val="false"/>
          <w:iCs w:val="false"/>
          <w:sz w:val="22"/>
          <w:szCs w:val="22"/>
        </w:rPr>
        <w:t xml:space="preserve">M4 — Estado de carga moderada. </w:t>
      </w:r>
      <w:r>
        <w:rPr>
          <w:rFonts w:ascii="Arial" w:cs="Arial" w:eastAsia="Arial" w:hAnsi="Arial"/>
          <w:b w:val="false"/>
          <w:bCs w:val="false"/>
          <w:i w:val="false"/>
          <w:iCs w:val="false"/>
          <w:sz w:val="22"/>
          <w:szCs w:val="22"/>
        </w:rPr>
        <w:t xml:space="preserve">M4 (Sueño Estable Mixto, ~27 %) presenta correlaciones positivas moderadas con AHI3 (ρ = +0,347) y T90 (ρ = +0,212), con perfil compatible con sueño con desaturaciones de severidad intermedia. No presenta correlación relevante con el ARI (ρ = −0,003).</w:t>
      </w:r>
    </w:p>
    <w:p>
      <w:pPr>
        <w:spacing w:after="0" w:before="160"/>
        <w:jc w:val="center"/>
      </w:pPr>
      <w:r>
        <w:drawing>
          <wp:inline distT="0" distB="0" distL="0" distR="0">
            <wp:extent cx="5448300" cy="30003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5.3. </w:t>
      </w:r>
      <w:r>
        <w:rPr>
          <w:rFonts w:ascii="Arial" w:cs="Arial" w:eastAsia="Arial" w:hAnsi="Arial"/>
          <w:sz w:val="20"/>
          <w:szCs w:val="20"/>
        </w:rPr>
        <w:t xml:space="preserve">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(M0–M4). Barras: mediana; líneas: IQR.</w:t>
      </w:r>
    </w:p>
    <w:p>
      <w:pPr>
        <w:pStyle w:val="Heading3"/>
        <w:spacing w:after="80" w:before="240"/>
      </w:pPr>
      <w:r>
        <w:rPr>
          <w:rFonts w:ascii="Arial" w:cs="Arial" w:eastAsia="Arial" w:hAnsi="Arial"/>
          <w:b/>
          <w:bCs/>
          <w:color w:val="1F4D78"/>
          <w:sz w:val="24"/>
          <w:szCs w:val="24"/>
        </w:rPr>
        <w:t xml:space="preserve">5.3.1  Trayectorias nocturnas (K = 3)</w:t>
      </w:r>
    </w:p>
    <w:p>
      <w:pPr>
        <w:spacing w:after="160" w:line="276" w:lineRule="auto"/>
        <w:jc w:val="both"/>
      </w:pPr>
      <w:r>
        <w:rPr>
          <w:rFonts w:ascii="Arial" w:cs="Arial" w:eastAsia="Arial" w:hAnsi="Arial"/>
          <w:b w:val="false"/>
          <w:bCs w:val="false"/>
          <w:i w:val="false"/>
          <w:iCs w:val="false"/>
          <w:sz w:val="22"/>
          <w:szCs w:val="22"/>
        </w:rPr>
        <w:t xml:space="preserve">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de escala M (fracciones de estados, entropía y número de transiciones), se identificarían tres arquetipos nocturnos interpretables en términos de la composición de estados verificada en NB04:</w:t>
      </w:r>
    </w:p>
    <w:p>
      <w:pPr>
        <w:spacing w:after="160" w:line="276" w:lineRule="auto"/>
        <w:jc w:val="both"/>
      </w:pPr>
      <w:r>
        <w:rPr>
          <w:rFonts w:ascii="Arial" w:cs="Arial" w:eastAsia="Arial" w:hAnsi="Arial"/>
          <w:b/>
          <w:bCs/>
          <w:i w:val="false"/>
          <w:iCs w:val="false"/>
          <w:sz w:val="22"/>
          <w:szCs w:val="22"/>
        </w:rPr>
        <w:t xml:space="preserve">Trayectoria A — Perfil protector (~50 % de las noches): </w:t>
      </w:r>
      <w:r>
        <w:rPr>
          <w:rFonts w:ascii="Arial" w:cs="Arial" w:eastAsia="Arial" w:hAnsi="Arial"/>
          <w:b w:val="false"/>
          <w:bCs w:val="false"/>
          <w:i w:val="false"/>
          <w:iCs w:val="false"/>
          <w:sz w:val="22"/>
          <w:szCs w:val="22"/>
        </w:rPr>
        <w:t xml:space="preserve">dominancia de M0 y M2, baja fracción de M1. Compatible con noches con pocas desaturaciones o con recuperación autonómica activa.</w:t>
      </w:r>
    </w:p>
    <w:p>
      <w:pPr>
        <w:spacing w:after="160" w:line="276" w:lineRule="auto"/>
        <w:jc w:val="both"/>
      </w:pPr>
      <w:r>
        <w:rPr>
          <w:rFonts w:ascii="Arial" w:cs="Arial" w:eastAsia="Arial" w:hAnsi="Arial"/>
          <w:b/>
          <w:bCs/>
          <w:i w:val="false"/>
          <w:iCs w:val="false"/>
          <w:sz w:val="22"/>
          <w:szCs w:val="22"/>
        </w:rPr>
        <w:t xml:space="preserve">Trayectoria B — Perfil de carga intermedia (~35 % de las noches): </w:t>
      </w:r>
      <w:r>
        <w:rPr>
          <w:rFonts w:ascii="Arial" w:cs="Arial" w:eastAsia="Arial" w:hAnsi="Arial"/>
          <w:b w:val="false"/>
          <w:bCs w:val="false"/>
          <w:i w:val="false"/>
          <w:iCs w:val="false"/>
          <w:sz w:val="22"/>
          <w:szCs w:val="22"/>
        </w:rPr>
        <w:t xml:space="preserve">alternancia entre M4 y M3, fracción moderada de M1. Compatible con noches con carga hipóxica significativa pero con períodos de sueño profundo intercalados.</w:t>
      </w:r>
    </w:p>
    <w:p>
      <w:pPr>
        <w:spacing w:after="160" w:line="276" w:lineRule="auto"/>
        <w:jc w:val="both"/>
      </w:pPr>
      <w:r>
        <w:rPr>
          <w:rFonts w:ascii="Arial" w:cs="Arial" w:eastAsia="Arial" w:hAnsi="Arial"/>
          <w:b/>
          <w:bCs/>
          <w:i w:val="false"/>
          <w:iCs w:val="false"/>
          <w:sz w:val="22"/>
          <w:szCs w:val="22"/>
        </w:rPr>
        <w:t xml:space="preserve">Trayectoria C — Perfil de carga hipóxica elevada (~15 % de las noches): </w:t>
      </w:r>
      <w:r>
        <w:rPr>
          <w:rFonts w:ascii="Arial" w:cs="Arial" w:eastAsia="Arial" w:hAnsi="Arial"/>
          <w:b w:val="false"/>
          <w:bCs w:val="false"/>
          <w:i w:val="false"/>
          <w:iCs w:val="false"/>
          <w:sz w:val="22"/>
          <w:szCs w:val="22"/>
        </w:rPr>
        <w:t xml:space="preserve">alta fracción de M1, baja fracción de M0 y M2. Compatible con noches con hipoxemia acumulada persistente y escasa recuperación.</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identifica cuatro estados (L0–L3) sobre ventanas de 30 minutos. Con el menor número de estados de las tres escalas, captura tendencias sostenidas de 30 minutos compatibles con la arquitectura global de la noche. La V de Cramér entre estado y morfotipo es la más baja (V = 0,196), consistente con la mayor heterogeneidad morfológica de las ventanas largas.</w:t>
      </w:r>
    </w:p>
    <w:p>
      <w:pPr>
        <w:spacing w:after="160" w:line="276" w:lineRule="auto"/>
        <w:jc w:val="both"/>
      </w:pPr>
      <w:r>
        <w:rPr>
          <w:rFonts w:ascii="Arial" w:cs="Arial" w:eastAsia="Arial" w:hAnsi="Arial"/>
          <w:b/>
          <w:bCs/>
          <w:i w:val="false"/>
          <w:iCs w:val="false"/>
          <w:sz w:val="22"/>
          <w:szCs w:val="22"/>
        </w:rPr>
        <w:t xml:space="preserve">L0 — Arquitectura compatible con hipoxemia sostenida. </w:t>
      </w:r>
      <w:r>
        <w:rPr>
          <w:rFonts w:ascii="Arial" w:cs="Arial" w:eastAsia="Arial" w:hAnsi="Arial"/>
          <w:b w:val="false"/>
          <w:bCs w:val="false"/>
          <w:i w:val="false"/>
          <w:iCs w:val="false"/>
          <w:sz w:val="22"/>
          <w:szCs w:val="22"/>
        </w:rPr>
        <w:t xml:space="preserve">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pPr>
        <w:spacing w:after="160" w:line="276" w:lineRule="auto"/>
        <w:jc w:val="both"/>
      </w:pPr>
      <w:r>
        <w:rPr>
          <w:rFonts w:ascii="Arial" w:cs="Arial" w:eastAsia="Arial" w:hAnsi="Arial"/>
          <w:b/>
          <w:bCs/>
          <w:i w:val="false"/>
          <w:iCs w:val="false"/>
          <w:sz w:val="22"/>
          <w:szCs w:val="22"/>
        </w:rPr>
        <w:t xml:space="preserve">L3 — Arquitectura compatible con baja carga respiratoria. </w:t>
      </w:r>
      <w:r>
        <w:rPr>
          <w:rFonts w:ascii="Arial" w:cs="Arial" w:eastAsia="Arial" w:hAnsi="Arial"/>
          <w:b w:val="false"/>
          <w:bCs w:val="false"/>
          <w:i w:val="false"/>
          <w:iCs w:val="false"/>
          <w:sz w:val="22"/>
          <w:szCs w:val="22"/>
        </w:rPr>
        <w:t xml:space="preserve">L3 (~30 % del tiempo) presenta las correlaciones negativas más intensas con AHI3 (ρ = −0,668), ODI3 (ρ = −0,676) y T90 (ρ = −0,524), compatible con bloques de 30 minutos con escasa actividad respiratoria patológica. Adicionalmente, L3 es el estado de escala L con mayor correlación positiva con el ARI (ρ = +0,357), lo que podría sugerir que los períodos de menor carga hipóxica no suprimen la reactividad autonómica sino que la preservan —aunque la dirección causal de esta asociación no puede establecerse con los datos disponibles—.</w:t>
      </w:r>
    </w:p>
    <w:p>
      <w:pPr>
        <w:spacing w:after="160" w:line="276" w:lineRule="auto"/>
        <w:jc w:val="both"/>
      </w:pPr>
      <w:r>
        <w:rPr>
          <w:rFonts w:ascii="Arial" w:cs="Arial" w:eastAsia="Arial" w:hAnsi="Arial"/>
          <w:b/>
          <w:bCs/>
          <w:i w:val="false"/>
          <w:iCs w:val="false"/>
          <w:sz w:val="22"/>
          <w:szCs w:val="22"/>
        </w:rPr>
        <w:t xml:space="preserve">L1 y L2 — Estados intermedios. </w:t>
      </w:r>
      <w:r>
        <w:rPr>
          <w:rFonts w:ascii="Arial" w:cs="Arial" w:eastAsia="Arial" w:hAnsi="Arial"/>
          <w:b w:val="false"/>
          <w:bCs w:val="false"/>
          <w:i w:val="false"/>
          <w:iCs w:val="false"/>
          <w:sz w:val="22"/>
          <w:szCs w:val="22"/>
        </w:rPr>
        <w:t xml:space="preserve">L2 (~34 %, el más frecuente) presenta correlaciones positivas moderadas con AHI3 (ρ = +0,384) y ODI3 (ρ = +0,393). L1 (~23 %) presenta correlaciones negativas de menor magnitud que L3 (AHI3 ρ = −0,290). Ambos estados representarían períodos de arquitectura mixta entre los polos L0 y L3.</w:t>
      </w:r>
    </w:p>
    <w:p>
      <w:pPr>
        <w:spacing w:after="160" w:line="276" w:lineRule="auto"/>
        <w:jc w:val="both"/>
      </w:pPr>
      <w:r>
        <w:rPr>
          <w:rFonts w:ascii="Arial" w:cs="Arial" w:eastAsia="Arial" w:hAnsi="Arial"/>
          <w:b w:val="false"/>
          <w:bCs w:val="false"/>
          <w:i w:val="false"/>
          <w:iCs w:val="false"/>
          <w:sz w:val="22"/>
          <w:szCs w:val="22"/>
        </w:rPr>
        <w:t xml:space="preserve">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(19 variables): </w:t>
      </w:r>
      <w:r>
        <w:rPr>
          <w:rFonts w:ascii="Arial" w:cs="Arial" w:eastAsia="Arial" w:hAnsi="Arial"/>
          <w:b w:val="false"/>
          <w:bCs w:val="false"/>
          <w:i w:val="false"/>
          <w:iCs w:val="false"/>
          <w:sz w:val="22"/>
          <w:szCs w:val="22"/>
        </w:rPr>
        <w:t xml:space="preserve">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(452 noches con estados completos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pPr>
        <w:spacing w:after="80"/>
      </w:pPr>
    </w:p>
    <w:p>
      <w:pPr>
        <w:spacing w:after="40" w:before="160"/>
      </w:pPr>
      <w:r>
        <w:rPr>
          <w:rFonts w:ascii="Arial" w:cs="Arial" w:eastAsia="Arial" w:hAnsi="Arial"/>
          <w:b/>
          <w:bCs/>
          <w:sz w:val="20"/>
          <w:szCs w:val="20"/>
        </w:rPr>
        <w:t xml:space="preserve">Tabla 5.3.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 (frac)</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pPr>
        <w:spacing w:after="160" w:line="276" w:lineRule="auto"/>
        <w:jc w:val="both"/>
      </w:pPr>
      <w:r>
        <w:rPr>
          <w:rFonts w:ascii="Arial" w:cs="Arial" w:eastAsia="Arial" w:hAnsi="Arial"/>
          <w:b w:val="false"/>
          <w:bCs w:val="false"/>
          <w:i w:val="false"/>
          <w:iCs w:val="false"/>
          <w:sz w:val="22"/>
          <w:szCs w:val="22"/>
        </w:rPr>
        <w:t xml:space="preserve">Esta tabla cristaliza el resultado conceptual central: las tres dimensiones de la fisiopatología nocturna operarían a resoluciones temporales distintas. La frecuencia de eventos es un fenómeno de escala corta, expresado en la densidad de ventanas de S4 (ρ AHI = +0,691). La carga hipóxica acumulada es un fenómeno de escala media, construida durante bloques sostenidos en M1 (ρ T90 = +0,744). La reactividad autonómica es también de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pPr>
        <w:spacing w:after="0" w:before="160"/>
        <w:jc w:val="center"/>
      </w:pPr>
      <w:r>
        <w:drawing>
          <wp:inline distT="0" distB="0" distL="0" distR="0">
            <wp:extent cx="5295900" cy="3600450"/>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5900" cy="3600450"/>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5.4.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(452 noches con los tres niveles de estado completos). El espacio reducido bidimensional explicaría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serían clínicamente interpretables (Figura 5.5):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7,7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14,8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15,1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en el plano PC1–PC2 principalmente en el eje de severidad (PC1), lo que es compatible con que el perfil multiescala PAC capturaría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presentaría valores prácticamente idénticos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por reactividad autonómica. Esta invarianza constituiría evidencia estructural adicional de la baja correlación entre la arquitectura del sueño hipóxico y la respuesta autonómica: ambas dimensiones no solo presentarían baja correlación estadística (ρ = 0,035 a nivel de evento, §4.3) sino que tampoco quedarían codificadas de forma diferencial en la estructura temporal de la noche.</w:t>
      </w:r>
    </w:p>
    <w:p>
      <w:pPr>
        <w:spacing w:after="0" w:before="160"/>
        <w:jc w:val="center"/>
      </w:pPr>
      <w:r>
        <w:drawing>
          <wp:inline distT="0" distB="0" distL="0" distR="0">
            <wp:extent cx="4572000" cy="3343275"/>
            <wp:effectExtent t="0" r="0" b="0" l="0"/>
            <wp:docPr id="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432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5.5. </w:t>
      </w:r>
      <w:r>
        <w:rPr>
          <w:rFonts w:ascii="Arial" w:cs="Arial" w:eastAsia="Arial" w:hAnsi="Arial"/>
          <w:sz w:val="20"/>
          <w:szCs w:val="20"/>
        </w:rPr>
        <w:t xml:space="preserve">PCA multiescala y fenotipos nocturnos (K = 3). Proyección de 452 noches en el plano PC1–PC2, coloreadas por cluster K-means. Los tres clusters se diferencian en el eje de severidad hipóxica (PC1) pero presentan ARI prácticamente idéntico, lo que sería compatible con la no redundancia entre ambas dimensiones.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dominantes: frac_s_S2, frac_s_S1, frac_m_M0, frac_m_M4); PC2 explica el 25,3 % (entropy y n_transitions en las tres escalas). n = 452 noches con estados S, M y L completos.</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La Tabla 5.4 sintetiza el resultado conceptual central del capítulo: cada dimensión de la fisiopatología nocturna encontraría su expresión óptima en una escala temporal y un estado PAC distinto.</w:t>
      </w:r>
    </w:p>
    <w:p>
      <w:pPr>
        <w:spacing w:after="80"/>
      </w:pPr>
    </w:p>
    <w:p>
      <w:pPr>
        <w:spacing w:after="40" w:before="160"/>
      </w:pPr>
      <w:r>
        <w:rPr>
          <w:rFonts w:ascii="Arial" w:cs="Arial" w:eastAsia="Arial" w:hAnsi="Arial"/>
          <w:b/>
          <w:bCs/>
          <w:sz w:val="20"/>
          <w:szCs w:val="20"/>
        </w:rPr>
        <w:t xml:space="preserve">Tabla 5.4. </w:t>
      </w:r>
      <w:r>
        <w:rPr>
          <w:rFonts w:ascii="Arial" w:cs="Arial" w:eastAsia="Arial" w:hAnsi="Arial"/>
          <w:sz w:val="20"/>
          <w:szCs w:val="20"/>
        </w:rPr>
        <w:t xml:space="preserve">Matriz síntesis: estado PAC clave por dimensión fisiológica y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clave</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 (AHI / ODI)</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  (AHI3)</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 (ARI)</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  (ARI media)</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 5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 (T90, 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+0,744  (T90)</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 30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 (T90)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+0,705  (T90 min)</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invarianza del ARI entre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de fenotipos nocturnos multiescala complementa los hallazgos del Capítulo 4: no solo el ARI presentaría baja correlación con ODI3 a nivel de evento (ρ = 0,035), sino que tampoco quedaría codificado de forma diferencial en la estructura temporal de la noche. Esto sugiere que la reactividad autonómica podría reflejar una propiedad del sistema cardiovascular del paciente que se expresaría de forma transversal a lo largo de toda la noche, independientemente de la arquitectura hipóxica. La estabilidad moderada del ARI nocturno (ICC = 0,688), validada en NB03, sería compatible con esta interpretación.</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sería necesaria antes de cualquier interpretación clínica definitiva. El sesgo hacia severidad leve–moderada (59,6 % y 28,6 % respectivamente) implica que la caracterización de estados en pacientes con SAOS severo descansaría sobre un subgrupo pequeño.</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f170be8b02bf2a7c04372fddb5d02896bf7a.png"/><Relationship Id="rId10" Type="http://schemas.openxmlformats.org/officeDocument/2006/relationships/image" Target="media/7fcb7e5932c5177687dba0ba4c8e920fadae2042.png"/><Relationship Id="rId11" Type="http://schemas.openxmlformats.org/officeDocument/2006/relationships/image" Target="media/96977e823c78d28ed655be78034f32324a258a0e.png"/><Relationship Id="rId12" Type="http://schemas.openxmlformats.org/officeDocument/2006/relationships/image" Target="media/0d611002be315827990002210caaf9488f294c6f.png"/><Relationship Id="rId13" Type="http://schemas.openxmlformats.org/officeDocument/2006/relationships/image" Target="media/fe3bd5620189943a8fe97bc2774f693a53da55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2026-05-24T23:43:13.452Z</dcterms:created>
  <dcterms:modified xsi:type="dcterms:W3CDTF">2026-05-24T23:43:13.453Z</dcterms:modified>
</cp:coreProperties>
</file>

<file path=docProps/custom.xml><?xml version="1.0" encoding="utf-8"?>
<Properties xmlns="http://schemas.openxmlformats.org/officeDocument/2006/custom-properties" xmlns:vt="http://schemas.openxmlformats.org/officeDocument/2006/docPropsVTypes"/>
</file>