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2EE7" w14:textId="77777777" w:rsidR="00150C32" w:rsidRPr="00150C32" w:rsidRDefault="00150C32" w:rsidP="00150C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50C32">
        <w:rPr>
          <w:rFonts w:ascii="Times New Roman" w:eastAsia="Times New Roman" w:hAnsi="Times New Roman" w:cs="Times New Roman"/>
          <w:b/>
          <w:bCs/>
          <w:kern w:val="36"/>
          <w:sz w:val="48"/>
          <w:szCs w:val="48"/>
          <w:lang w:eastAsia="es-MX"/>
          <w14:ligatures w14:val="none"/>
        </w:rPr>
        <w:t>Capítulo 6</w:t>
      </w:r>
    </w:p>
    <w:p w14:paraId="48E83134" w14:textId="77777777" w:rsidR="00150C32" w:rsidRPr="00150C32" w:rsidRDefault="00150C32" w:rsidP="00150C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50C32">
        <w:rPr>
          <w:rFonts w:ascii="Times New Roman" w:eastAsia="Times New Roman" w:hAnsi="Times New Roman" w:cs="Times New Roman"/>
          <w:b/>
          <w:bCs/>
          <w:kern w:val="36"/>
          <w:sz w:val="48"/>
          <w:szCs w:val="48"/>
          <w:lang w:eastAsia="es-MX"/>
          <w14:ligatures w14:val="none"/>
        </w:rPr>
        <w:t>Modelado predictivo basado en PAC: acoplamiento evento–estado, severidad y riesgo fisiológico nocturno</w:t>
      </w:r>
    </w:p>
    <w:p w14:paraId="0EB47734"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 Introducción</w:t>
      </w:r>
    </w:p>
    <w:p w14:paraId="3C4DBB2A"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Los capítulos previos establecieron la base conceptual y metodológica sobre la cual se apoya este capítulo. En primer lugar, se mostró que los eventos de desaturación nocturna de oxígeno no constituyen una entidad fisiológica homogénea. Aunque en los índices clínicos tradicionales suelen contabilizarse como unidades equivalentes, los eventos difieren en profundidad, duración, velocidad de caída, recuperación, carga hipóxica y respuesta autonómica. Esta heterogeneidad permitió construir una taxonomía morfológica de eventos, organizada en morfotipos C1–C5, que expresa distintos patrones fisiológicos de desaturación.</w:t>
      </w:r>
    </w:p>
    <w:p w14:paraId="0D1219B8"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En segundo lugar, se demostró que la noche no puede comprenderse únicamente como una suma de eventos aislados. La señal fisiológica nocturna presenta una organización temporal compleja, con estados recurrentes que emergen a diferentes escalas. Los PAC States permitieron representar esta dinámica en escalas cortas, medias y largas, capturando desde la microdinámica peri-evento hasta la arquitectura fisiológica global de la noche.</w:t>
      </w:r>
    </w:p>
    <w:p w14:paraId="0A716B0F"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presente capítulo avanza desde la caracterización descriptiva hacia el modelado predictivo. La pregunta central ya no es solamente si existen morfotipos o estados fisiológicos distinguibles, sino si esas representaciones contienen información suficiente para anticipar severidad, estratificar riesgo y construir una lectura integrada de vulnerabilidad nocturna.</w:t>
      </w:r>
    </w:p>
    <w:p w14:paraId="3C24CF4E"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Desde una perspectiva clínica, esta transición es relevante porque los índices clásicos, como AHI, ODI, T90 o carga hipóxica, resumen el resultado final de la noche, pero no describen el proceso fisiológico que conduce a ese resultado. Dos noches con valores similares de ODI pueden diferir en la proporción de eventos severos, en el contexto dinámico en que ocurren, en la capacidad de recuperación posterior y en la respuesta autonómica asociada. Del mismo modo, dos pacientes con carga hipóxica comparable pueden presentar trayectorias fisiológicas nocturnas muy diferentes.</w:t>
      </w:r>
    </w:p>
    <w:p w14:paraId="6B31A74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 xml:space="preserve">El objetivo de este capítulo es evaluar si PAC permite transformar esa complejidad temporal en información predictiva. Para ello se integran tres niveles de análisis: el acoplamiento entre eventos y estados fisiológicos, la dinámica temporal de transición y resiliencia, y la construcción de modelos predictivos a nivel de evento y de noche. </w:t>
      </w:r>
      <w:r w:rsidRPr="00150C32">
        <w:rPr>
          <w:rFonts w:ascii="Times New Roman" w:eastAsia="Times New Roman" w:hAnsi="Times New Roman" w:cs="Times New Roman"/>
          <w:kern w:val="0"/>
          <w:lang w:eastAsia="es-MX"/>
          <w14:ligatures w14:val="none"/>
        </w:rPr>
        <w:lastRenderedPageBreak/>
        <w:t>Finalmente, estos componentes se integran en un Risk Score PAC, concebido como un índice fisiológico continuo de vulnerabilidad nocturna.</w:t>
      </w:r>
    </w:p>
    <w:p w14:paraId="6AEBDEC8"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La hipótesis general es que la severidad de la apnea del sueño no depende únicamente de cuántos eventos ocurren, sino también de cómo ocurren, en qué contexto fisiológico aparecen y cómo responde el organismo después de ellos. En este sentido, PAC no se plantea como un reemplazo directo de los índices clásicos, sino como una capa adicional de interpretación dinámica y predictiva.</w:t>
      </w:r>
    </w:p>
    <w:p w14:paraId="75CE8621"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6.2. Datos, cohorte y diseño analítico</w:t>
      </w:r>
    </w:p>
    <w:p w14:paraId="0EFC9A59"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análisis predictivo se desarrolló sobre la cohorte estricta del proyecto PAC, seleccionada para asegurar estabilidad longitudinal mínima por paciente. Esta decisión metodológica es especialmente importante porque los modelos se validaron mediante un esquema leave-one-patient-out cross-validation, en el cual cada iteración entrena sobre todos los pacientes excepto uno y evalúa el rendimiento sobre el paciente excluido. Este diseño exige que cada paciente aporte un número suficiente de noches para que la evaluación sea interpretable.</w:t>
      </w:r>
    </w:p>
    <w:p w14:paraId="0BBA13A3"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La cohorte estricta incluyó ocho pacientes, aproximadamente 490 noches válidas y más de 72.000 eventos de desaturación. A diferencia de una división aleatoria convencional, la validación leave-one-patient-out evita que noches del mismo paciente aparezcan simultáneamente en entrenamiento y prueba. Esto reduce el riesgo de sobreestimar el rendimiento por aprendizaje de patrones individuales y constituye una estrategia más exigente para evaluar generalización entre sujetos.</w:t>
      </w:r>
    </w:p>
    <w:p w14:paraId="7C901CBE"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análisis integró información proveniente de diferentes tablas Gold: eventos, estados PAC, noches, pacientes y tablas derivadas de acoplamiento evento–estado. A nivel de evento, se utilizaron variables morfológicas, morfotipos C1–C5, respuesta autonómica y contexto PAC. A nivel de noche, se integraron fracciones de estados, métricas de transición, entropía, proporción de eventos severos, ARI medio, coupling index y trayectoria nocturna.</w:t>
      </w:r>
    </w:p>
    <w:p w14:paraId="3FAB9EA2"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Una consideración metodológica central fue evitar leakage temporal. En los modelos de evento, las features dinámicas se calcularon de manera causal: para estimar la probabilidad de severidad de un evento, solo se utilizó información disponible antes de su ocurrencia o acumulada hasta ese punto de la noche. Esta restricción es fundamental para que el modelo tenga valor prospectivo y no dependa de información futura.</w:t>
      </w:r>
    </w:p>
    <w:p w14:paraId="35F17F33"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6.1. Resumen del diseño predictivo del capítulo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314"/>
      </w:tblGrid>
      <w:tr w:rsidR="00150C32" w:rsidRPr="00150C32" w14:paraId="1B32D0C8" w14:textId="77777777">
        <w:trPr>
          <w:tblHeader/>
          <w:tblCellSpacing w:w="15" w:type="dxa"/>
        </w:trPr>
        <w:tc>
          <w:tcPr>
            <w:tcW w:w="0" w:type="auto"/>
            <w:vAlign w:val="center"/>
            <w:hideMark/>
          </w:tcPr>
          <w:p w14:paraId="0CA992E9"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Componente</w:t>
            </w:r>
          </w:p>
        </w:tc>
        <w:tc>
          <w:tcPr>
            <w:tcW w:w="0" w:type="auto"/>
            <w:vAlign w:val="center"/>
            <w:hideMark/>
          </w:tcPr>
          <w:p w14:paraId="60759DC7"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Descripción</w:t>
            </w:r>
          </w:p>
        </w:tc>
      </w:tr>
      <w:tr w:rsidR="00150C32" w:rsidRPr="00150C32" w14:paraId="1FB2F016" w14:textId="77777777">
        <w:trPr>
          <w:tblCellSpacing w:w="15" w:type="dxa"/>
        </w:trPr>
        <w:tc>
          <w:tcPr>
            <w:tcW w:w="0" w:type="auto"/>
            <w:vAlign w:val="center"/>
            <w:hideMark/>
          </w:tcPr>
          <w:p w14:paraId="07805B4E"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Cohorte principal</w:t>
            </w:r>
          </w:p>
        </w:tc>
        <w:tc>
          <w:tcPr>
            <w:tcW w:w="0" w:type="auto"/>
            <w:vAlign w:val="center"/>
            <w:hideMark/>
          </w:tcPr>
          <w:p w14:paraId="623B8039"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Cohorte strict</w:t>
            </w:r>
          </w:p>
        </w:tc>
      </w:tr>
      <w:tr w:rsidR="00150C32" w:rsidRPr="00150C32" w14:paraId="22855190" w14:textId="77777777">
        <w:trPr>
          <w:tblCellSpacing w:w="15" w:type="dxa"/>
        </w:trPr>
        <w:tc>
          <w:tcPr>
            <w:tcW w:w="0" w:type="auto"/>
            <w:vAlign w:val="center"/>
            <w:hideMark/>
          </w:tcPr>
          <w:p w14:paraId="2EB14C9E"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Pacientes</w:t>
            </w:r>
          </w:p>
        </w:tc>
        <w:tc>
          <w:tcPr>
            <w:tcW w:w="0" w:type="auto"/>
            <w:vAlign w:val="center"/>
            <w:hideMark/>
          </w:tcPr>
          <w:p w14:paraId="62D50DF5"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8</w:t>
            </w:r>
          </w:p>
        </w:tc>
      </w:tr>
      <w:tr w:rsidR="00150C32" w:rsidRPr="00150C32" w14:paraId="7534B1B3" w14:textId="77777777">
        <w:trPr>
          <w:tblCellSpacing w:w="15" w:type="dxa"/>
        </w:trPr>
        <w:tc>
          <w:tcPr>
            <w:tcW w:w="0" w:type="auto"/>
            <w:vAlign w:val="center"/>
            <w:hideMark/>
          </w:tcPr>
          <w:p w14:paraId="6F96C7D1"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Noches</w:t>
            </w:r>
          </w:p>
        </w:tc>
        <w:tc>
          <w:tcPr>
            <w:tcW w:w="0" w:type="auto"/>
            <w:vAlign w:val="center"/>
            <w:hideMark/>
          </w:tcPr>
          <w:p w14:paraId="067C9A36"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Aproximadamente 490</w:t>
            </w:r>
          </w:p>
        </w:tc>
      </w:tr>
      <w:tr w:rsidR="00150C32" w:rsidRPr="00150C32" w14:paraId="59680E40" w14:textId="77777777">
        <w:trPr>
          <w:tblCellSpacing w:w="15" w:type="dxa"/>
        </w:trPr>
        <w:tc>
          <w:tcPr>
            <w:tcW w:w="0" w:type="auto"/>
            <w:vAlign w:val="center"/>
            <w:hideMark/>
          </w:tcPr>
          <w:p w14:paraId="0192270D"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Eventos</w:t>
            </w:r>
          </w:p>
        </w:tc>
        <w:tc>
          <w:tcPr>
            <w:tcW w:w="0" w:type="auto"/>
            <w:vAlign w:val="center"/>
            <w:hideMark/>
          </w:tcPr>
          <w:p w14:paraId="5EF0DD56"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Más de 72.000</w:t>
            </w:r>
          </w:p>
        </w:tc>
      </w:tr>
      <w:tr w:rsidR="00150C32" w:rsidRPr="00150C32" w14:paraId="28D83163" w14:textId="77777777">
        <w:trPr>
          <w:tblCellSpacing w:w="15" w:type="dxa"/>
        </w:trPr>
        <w:tc>
          <w:tcPr>
            <w:tcW w:w="0" w:type="auto"/>
            <w:vAlign w:val="center"/>
            <w:hideMark/>
          </w:tcPr>
          <w:p w14:paraId="07F782A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lastRenderedPageBreak/>
              <w:t>Validación</w:t>
            </w:r>
          </w:p>
        </w:tc>
        <w:tc>
          <w:tcPr>
            <w:tcW w:w="0" w:type="auto"/>
            <w:vAlign w:val="center"/>
            <w:hideMark/>
          </w:tcPr>
          <w:p w14:paraId="3D5CB6A8"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Leave-one-patient-out cross-validation</w:t>
            </w:r>
          </w:p>
        </w:tc>
      </w:tr>
      <w:tr w:rsidR="00150C32" w:rsidRPr="00150C32" w14:paraId="7DC97DD0" w14:textId="77777777">
        <w:trPr>
          <w:tblCellSpacing w:w="15" w:type="dxa"/>
        </w:trPr>
        <w:tc>
          <w:tcPr>
            <w:tcW w:w="0" w:type="auto"/>
            <w:vAlign w:val="center"/>
            <w:hideMark/>
          </w:tcPr>
          <w:p w14:paraId="08EB5B17"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Nivel evento</w:t>
            </w:r>
          </w:p>
        </w:tc>
        <w:tc>
          <w:tcPr>
            <w:tcW w:w="0" w:type="auto"/>
            <w:vAlign w:val="center"/>
            <w:hideMark/>
          </w:tcPr>
          <w:p w14:paraId="481236B4"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Predicción de evento severo C4–C5 vs C1–C3</w:t>
            </w:r>
          </w:p>
        </w:tc>
      </w:tr>
      <w:tr w:rsidR="00150C32" w:rsidRPr="00150C32" w14:paraId="6D482BD1" w14:textId="77777777">
        <w:trPr>
          <w:tblCellSpacing w:w="15" w:type="dxa"/>
        </w:trPr>
        <w:tc>
          <w:tcPr>
            <w:tcW w:w="0" w:type="auto"/>
            <w:vAlign w:val="center"/>
            <w:hideMark/>
          </w:tcPr>
          <w:p w14:paraId="35ECA061"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Nivel noche</w:t>
            </w:r>
          </w:p>
        </w:tc>
        <w:tc>
          <w:tcPr>
            <w:tcW w:w="0" w:type="auto"/>
            <w:vAlign w:val="center"/>
            <w:hideMark/>
          </w:tcPr>
          <w:p w14:paraId="51D180D4"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Predicción de noche moderada/severa vs normal/leve</w:t>
            </w:r>
          </w:p>
        </w:tc>
      </w:tr>
      <w:tr w:rsidR="00150C32" w:rsidRPr="00150C32" w14:paraId="3DC700D4" w14:textId="77777777">
        <w:trPr>
          <w:tblCellSpacing w:w="15" w:type="dxa"/>
        </w:trPr>
        <w:tc>
          <w:tcPr>
            <w:tcW w:w="0" w:type="auto"/>
            <w:vAlign w:val="center"/>
            <w:hideMark/>
          </w:tcPr>
          <w:p w14:paraId="04C5D2D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Modelos principales</w:t>
            </w:r>
          </w:p>
        </w:tc>
        <w:tc>
          <w:tcPr>
            <w:tcW w:w="0" w:type="auto"/>
            <w:vAlign w:val="center"/>
            <w:hideMark/>
          </w:tcPr>
          <w:p w14:paraId="343704F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LightGBM para evento; regresión logística para noche</w:t>
            </w:r>
          </w:p>
        </w:tc>
      </w:tr>
      <w:tr w:rsidR="00150C32" w:rsidRPr="00150C32" w14:paraId="305DADB9" w14:textId="77777777">
        <w:trPr>
          <w:tblCellSpacing w:w="15" w:type="dxa"/>
        </w:trPr>
        <w:tc>
          <w:tcPr>
            <w:tcW w:w="0" w:type="auto"/>
            <w:vAlign w:val="center"/>
            <w:hideMark/>
          </w:tcPr>
          <w:p w14:paraId="16779138"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Salida integrada</w:t>
            </w:r>
          </w:p>
        </w:tc>
        <w:tc>
          <w:tcPr>
            <w:tcW w:w="0" w:type="auto"/>
            <w:vAlign w:val="center"/>
            <w:hideMark/>
          </w:tcPr>
          <w:p w14:paraId="040AE0C6"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Risk Score PAC 0–100</w:t>
            </w:r>
          </w:p>
        </w:tc>
      </w:tr>
    </w:tbl>
    <w:p w14:paraId="14DE68FA"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6.3. Del estado fisiológico al evento: acoplamiento EDO–PAC State</w:t>
      </w:r>
    </w:p>
    <w:p w14:paraId="336DFF56"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primer paso del capítulo consistió en analizar si los eventos severos se distribuyen de manera uniforme a lo largo de la noche o si tienden a concentrarse en determinados estados fisiológicos. Este análisis es crucial porque permite pasar de una visión centrada en el evento aislado a una interpretación contextual: el mismo tipo de desaturación puede tener un significado distinto según el estado dinámico en el que ocurre.</w:t>
      </w:r>
    </w:p>
    <w:p w14:paraId="1DE948C8"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análisis de acoplamiento mostró que los estados PAC patológicos concentran una proporción mucho mayor de eventos severos C4–C5 que los estados protectores. Este patrón se observó en las tres escalas temporales, aunque con diferente intensidad. A escala S, la asociación fue más inmediata y cercana al evento; a escala M, el estado capturó el contexto mesofisiológico de varios minutos; y a escala L, la asociación fue más estructural, reflejando bloques prolongados de vulnerabilidad nocturna.</w:t>
      </w:r>
    </w:p>
    <w:p w14:paraId="1999DF86"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hallazgo más relevante fue que determinados estados aumentaron aproximadamente once veces la probabilidad relativa de observar un evento severo. Esta magnitud sugiere que los PAC States no son etiquetas arbitrarias derivadas del clustering, sino representaciones fisiológicas con valor clínico. El evento severo no aparece simplemente como una unidad aislada, sino como la expresión local de un contexto dinámico vulnerable.</w:t>
      </w:r>
    </w:p>
    <w:p w14:paraId="3F20DA5E"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6.2. Riesgo relativo de evento severo según estado PAC patológico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079"/>
        <w:gridCol w:w="2206"/>
        <w:gridCol w:w="3150"/>
      </w:tblGrid>
      <w:tr w:rsidR="00150C32" w:rsidRPr="00150C32" w14:paraId="0A30770C" w14:textId="77777777">
        <w:trPr>
          <w:tblHeader/>
          <w:tblCellSpacing w:w="15" w:type="dxa"/>
        </w:trPr>
        <w:tc>
          <w:tcPr>
            <w:tcW w:w="0" w:type="auto"/>
            <w:vAlign w:val="center"/>
            <w:hideMark/>
          </w:tcPr>
          <w:p w14:paraId="6A6614F3"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Escala</w:t>
            </w:r>
          </w:p>
        </w:tc>
        <w:tc>
          <w:tcPr>
            <w:tcW w:w="0" w:type="auto"/>
            <w:vAlign w:val="center"/>
            <w:hideMark/>
          </w:tcPr>
          <w:p w14:paraId="693E8F15"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Estado patológico principal</w:t>
            </w:r>
          </w:p>
        </w:tc>
        <w:tc>
          <w:tcPr>
            <w:tcW w:w="0" w:type="auto"/>
            <w:vAlign w:val="center"/>
            <w:hideMark/>
          </w:tcPr>
          <w:p w14:paraId="20040C8C"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Riesgo relativo de evento severo</w:t>
            </w:r>
          </w:p>
        </w:tc>
        <w:tc>
          <w:tcPr>
            <w:tcW w:w="0" w:type="auto"/>
            <w:vAlign w:val="center"/>
            <w:hideMark/>
          </w:tcPr>
          <w:p w14:paraId="56620A42"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w:t>
            </w:r>
          </w:p>
        </w:tc>
      </w:tr>
      <w:tr w:rsidR="00150C32" w:rsidRPr="00150C32" w14:paraId="318D11A9" w14:textId="77777777">
        <w:trPr>
          <w:tblCellSpacing w:w="15" w:type="dxa"/>
        </w:trPr>
        <w:tc>
          <w:tcPr>
            <w:tcW w:w="0" w:type="auto"/>
            <w:vAlign w:val="center"/>
            <w:hideMark/>
          </w:tcPr>
          <w:p w14:paraId="0053BE83"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 — 30 segundos</w:t>
            </w:r>
          </w:p>
        </w:tc>
        <w:tc>
          <w:tcPr>
            <w:tcW w:w="0" w:type="auto"/>
            <w:vAlign w:val="center"/>
            <w:hideMark/>
          </w:tcPr>
          <w:p w14:paraId="27C04F14"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S5</w:t>
            </w:r>
          </w:p>
        </w:tc>
        <w:tc>
          <w:tcPr>
            <w:tcW w:w="0" w:type="auto"/>
            <w:vAlign w:val="center"/>
            <w:hideMark/>
          </w:tcPr>
          <w:p w14:paraId="17A6818B"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10,9×</w:t>
            </w:r>
          </w:p>
        </w:tc>
        <w:tc>
          <w:tcPr>
            <w:tcW w:w="0" w:type="auto"/>
            <w:vAlign w:val="center"/>
            <w:hideMark/>
          </w:tcPr>
          <w:p w14:paraId="69C47A19"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Microestado de alta vulnerabilidad inmediata</w:t>
            </w:r>
          </w:p>
        </w:tc>
      </w:tr>
      <w:tr w:rsidR="00150C32" w:rsidRPr="00150C32" w14:paraId="0843E01F" w14:textId="77777777">
        <w:trPr>
          <w:tblCellSpacing w:w="15" w:type="dxa"/>
        </w:trPr>
        <w:tc>
          <w:tcPr>
            <w:tcW w:w="0" w:type="auto"/>
            <w:vAlign w:val="center"/>
            <w:hideMark/>
          </w:tcPr>
          <w:p w14:paraId="0BEB4E8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 — 5 minutos</w:t>
            </w:r>
          </w:p>
        </w:tc>
        <w:tc>
          <w:tcPr>
            <w:tcW w:w="0" w:type="auto"/>
            <w:vAlign w:val="center"/>
            <w:hideMark/>
          </w:tcPr>
          <w:p w14:paraId="5D3115A4"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M5</w:t>
            </w:r>
          </w:p>
        </w:tc>
        <w:tc>
          <w:tcPr>
            <w:tcW w:w="0" w:type="auto"/>
            <w:vAlign w:val="center"/>
            <w:hideMark/>
          </w:tcPr>
          <w:p w14:paraId="3F182B0A"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11,1×</w:t>
            </w:r>
          </w:p>
        </w:tc>
        <w:tc>
          <w:tcPr>
            <w:tcW w:w="0" w:type="auto"/>
            <w:vAlign w:val="center"/>
            <w:hideMark/>
          </w:tcPr>
          <w:p w14:paraId="1D37FF25"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Contexto mesofisiológico patológico</w:t>
            </w:r>
          </w:p>
        </w:tc>
      </w:tr>
      <w:tr w:rsidR="00150C32" w:rsidRPr="00150C32" w14:paraId="4D4069E2" w14:textId="77777777">
        <w:trPr>
          <w:tblCellSpacing w:w="15" w:type="dxa"/>
        </w:trPr>
        <w:tc>
          <w:tcPr>
            <w:tcW w:w="0" w:type="auto"/>
            <w:vAlign w:val="center"/>
            <w:hideMark/>
          </w:tcPr>
          <w:p w14:paraId="2EF9C926"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 — 30 minutos</w:t>
            </w:r>
          </w:p>
        </w:tc>
        <w:tc>
          <w:tcPr>
            <w:tcW w:w="0" w:type="auto"/>
            <w:vAlign w:val="center"/>
            <w:hideMark/>
          </w:tcPr>
          <w:p w14:paraId="3FA68003"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L3</w:t>
            </w:r>
          </w:p>
        </w:tc>
        <w:tc>
          <w:tcPr>
            <w:tcW w:w="0" w:type="auto"/>
            <w:vAlign w:val="center"/>
            <w:hideMark/>
          </w:tcPr>
          <w:p w14:paraId="7189B852"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10,1×</w:t>
            </w:r>
          </w:p>
        </w:tc>
        <w:tc>
          <w:tcPr>
            <w:tcW w:w="0" w:type="auto"/>
            <w:vAlign w:val="center"/>
            <w:hideMark/>
          </w:tcPr>
          <w:p w14:paraId="4B711BB2"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Bloque prolongado de carga fisiológica</w:t>
            </w:r>
          </w:p>
        </w:tc>
      </w:tr>
    </w:tbl>
    <w:p w14:paraId="3B2AE45C"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 xml:space="preserve">Este resultado modifica la interpretación clásica del evento respiratorio. En el paradigma tradicional, la severidad suele atribuirse a la magnitud de la caída de SpO₂ o a la frecuencia de eventos por hora. En PAC, en cambio, la severidad emerge de la interacción entre evento </w:t>
      </w:r>
      <w:r w:rsidRPr="00150C32">
        <w:rPr>
          <w:rFonts w:ascii="Times New Roman" w:eastAsia="Times New Roman" w:hAnsi="Times New Roman" w:cs="Times New Roman"/>
          <w:kern w:val="0"/>
          <w:lang w:eastAsia="es-MX"/>
          <w14:ligatures w14:val="none"/>
        </w:rPr>
        <w:lastRenderedPageBreak/>
        <w:t>y contexto. Un evento C4 o C5 no solo representa una caída más profunda o prolongada, sino también la manifestación de una noche que, en ese momento, se encuentra en un estado fisiológico menos resiliente.</w:t>
      </w:r>
    </w:p>
    <w:p w14:paraId="77876E6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Figura 6.1. Acoplamiento entre morfotipos de eventos y PAC States.</w:t>
      </w:r>
      <w:r w:rsidRPr="00150C32">
        <w:rPr>
          <w:rFonts w:ascii="Times New Roman" w:eastAsia="Times New Roman" w:hAnsi="Times New Roman" w:cs="Times New Roman"/>
          <w:kern w:val="0"/>
          <w:lang w:eastAsia="es-MX"/>
          <w14:ligatures w14:val="none"/>
        </w:rPr>
        <w:br/>
        <w:t>Se propone representar una matriz de probabilidad condicional P(morfotipo | estado), preferentemente a escala M. La figura debería mostrar cómo los estados patológicos concentran una mayor proporción de C4–C5, mientras que los estados protectores presentan predominio de C1–C2. El objetivo visual es demostrar que la severidad morfológica del evento está modulada por el contexto fisiológico.</w:t>
      </w:r>
    </w:p>
    <w:p w14:paraId="21A3E646"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6.4. Coupling Index: cuantificación nocturna del acoplamiento patológico</w:t>
      </w:r>
    </w:p>
    <w:p w14:paraId="27C5D862"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 partir de la asociación entre eventos severos y estados patológicos se construyó el Coupling Index. Este índice resume, a nivel de noche, qué proporción de eventos severos ocurrió dentro de estados fisiológicos considerados patológicos. A diferencia de una simple fracción de eventos C4–C5, el coupling index incorpora explícitamente el contexto dinámico.</w:t>
      </w:r>
    </w:p>
    <w:p w14:paraId="6C0AEFF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Conceptualmente, dos noches pueden tener una proporción similar de eventos severos, pero diferir en su acoplamiento. En una noche, los eventos severos pueden aparecer de forma dispersa, intercalados con estados protectores y seguidos de recuperación. En otra, pueden concentrarse dentro de segmentos patológicos persistentes. Desde la perspectiva PAC, la segunda noche expresa mayor vulnerabilidad fisiológica, aunque el conteo total de eventos severos sea similar.</w:t>
      </w:r>
    </w:p>
    <w:p w14:paraId="7AA55BDA"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coupling index se calculó en las tres escalas temporales. Sin embargo, el índice de escala M resultó particularmente informativo para los modelos posteriores, probablemente porque la ventana de cinco minutos ofrece un equilibrio entre especificidad peri-evento y estabilidad contextual. La escala S es muy sensible a la microdinámica inmediata, mientras que la escala L captura arquitectura prolongada pero puede ser demasiado gruesa para caracterizar eventos individuales. La escala M funciona como puente entre ambas.</w:t>
      </w:r>
    </w:p>
    <w:p w14:paraId="34C1BB26"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6.3. Definición conceptual del Coupling Index por escala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3130"/>
        <w:gridCol w:w="4966"/>
      </w:tblGrid>
      <w:tr w:rsidR="00150C32" w:rsidRPr="00150C32" w14:paraId="79D13FDC" w14:textId="77777777">
        <w:trPr>
          <w:tblHeader/>
          <w:tblCellSpacing w:w="15" w:type="dxa"/>
        </w:trPr>
        <w:tc>
          <w:tcPr>
            <w:tcW w:w="0" w:type="auto"/>
            <w:vAlign w:val="center"/>
            <w:hideMark/>
          </w:tcPr>
          <w:p w14:paraId="07356B83"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Escala</w:t>
            </w:r>
          </w:p>
        </w:tc>
        <w:tc>
          <w:tcPr>
            <w:tcW w:w="0" w:type="auto"/>
            <w:vAlign w:val="center"/>
            <w:hideMark/>
          </w:tcPr>
          <w:p w14:paraId="276A37BD"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Estados patológicos considerados</w:t>
            </w:r>
          </w:p>
        </w:tc>
        <w:tc>
          <w:tcPr>
            <w:tcW w:w="0" w:type="auto"/>
            <w:vAlign w:val="center"/>
            <w:hideMark/>
          </w:tcPr>
          <w:p w14:paraId="30E91B83"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 del índice</w:t>
            </w:r>
          </w:p>
        </w:tc>
      </w:tr>
      <w:tr w:rsidR="00150C32" w:rsidRPr="00150C32" w14:paraId="6596FF4F" w14:textId="77777777">
        <w:trPr>
          <w:tblCellSpacing w:w="15" w:type="dxa"/>
        </w:trPr>
        <w:tc>
          <w:tcPr>
            <w:tcW w:w="0" w:type="auto"/>
            <w:vAlign w:val="center"/>
            <w:hideMark/>
          </w:tcPr>
          <w:p w14:paraId="6B8BE1DE"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w:t>
            </w:r>
          </w:p>
        </w:tc>
        <w:tc>
          <w:tcPr>
            <w:tcW w:w="0" w:type="auto"/>
            <w:vAlign w:val="center"/>
            <w:hideMark/>
          </w:tcPr>
          <w:p w14:paraId="7064E0BB"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Estados S de alta vulnerabilidad</w:t>
            </w:r>
          </w:p>
        </w:tc>
        <w:tc>
          <w:tcPr>
            <w:tcW w:w="0" w:type="auto"/>
            <w:vAlign w:val="center"/>
            <w:hideMark/>
          </w:tcPr>
          <w:p w14:paraId="690E531A"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Acoplamiento inmediato entre evento y microestado</w:t>
            </w:r>
          </w:p>
        </w:tc>
      </w:tr>
      <w:tr w:rsidR="00150C32" w:rsidRPr="00150C32" w14:paraId="32A98C69" w14:textId="77777777">
        <w:trPr>
          <w:tblCellSpacing w:w="15" w:type="dxa"/>
        </w:trPr>
        <w:tc>
          <w:tcPr>
            <w:tcW w:w="0" w:type="auto"/>
            <w:vAlign w:val="center"/>
            <w:hideMark/>
          </w:tcPr>
          <w:p w14:paraId="6CCD64FE"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w:t>
            </w:r>
          </w:p>
        </w:tc>
        <w:tc>
          <w:tcPr>
            <w:tcW w:w="0" w:type="auto"/>
            <w:vAlign w:val="center"/>
            <w:hideMark/>
          </w:tcPr>
          <w:p w14:paraId="1EA868AD"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Estados M patológicos</w:t>
            </w:r>
          </w:p>
        </w:tc>
        <w:tc>
          <w:tcPr>
            <w:tcW w:w="0" w:type="auto"/>
            <w:vAlign w:val="center"/>
            <w:hideMark/>
          </w:tcPr>
          <w:p w14:paraId="3DC466D3"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Acoplamiento mesofisiológico principal</w:t>
            </w:r>
          </w:p>
        </w:tc>
      </w:tr>
      <w:tr w:rsidR="00150C32" w:rsidRPr="00150C32" w14:paraId="1C3A43B8" w14:textId="77777777">
        <w:trPr>
          <w:tblCellSpacing w:w="15" w:type="dxa"/>
        </w:trPr>
        <w:tc>
          <w:tcPr>
            <w:tcW w:w="0" w:type="auto"/>
            <w:vAlign w:val="center"/>
            <w:hideMark/>
          </w:tcPr>
          <w:p w14:paraId="2D7C773B"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w:t>
            </w:r>
          </w:p>
        </w:tc>
        <w:tc>
          <w:tcPr>
            <w:tcW w:w="0" w:type="auto"/>
            <w:vAlign w:val="center"/>
            <w:hideMark/>
          </w:tcPr>
          <w:p w14:paraId="1AF6D92B"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Estados L patológicos</w:t>
            </w:r>
          </w:p>
        </w:tc>
        <w:tc>
          <w:tcPr>
            <w:tcW w:w="0" w:type="auto"/>
            <w:vAlign w:val="center"/>
            <w:hideMark/>
          </w:tcPr>
          <w:p w14:paraId="0AF60C15"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Acoplamiento con bloques prolongados de vulnerabilidad</w:t>
            </w:r>
          </w:p>
        </w:tc>
      </w:tr>
    </w:tbl>
    <w:p w14:paraId="0244A544"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lastRenderedPageBreak/>
        <w:t>El coupling index introduce una dimensión fisiológica que no está presente en los índices clásicos. ODI cuenta eventos; T90 mide tiempo bajo un umbral; la carga hipóxica cuantifica exposición acumulada. El coupling index, en cambio, pregunta en qué contexto dinámico ocurren los eventos más severos. Esta diferencia es importante porque desplaza el foco desde la cantidad hacia la organización temporal del daño fisiológico.</w:t>
      </w:r>
    </w:p>
    <w:p w14:paraId="1E84D6C1"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6.5. Dinámica pre–durante–post evento y resiliencia fisiológica</w:t>
      </w:r>
    </w:p>
    <w:p w14:paraId="692F74A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Una vez establecida la asociación entre eventos severos y estados patológicos, el análisis se extendió hacia la dinámica temporal inmediata. Para cada evento se evaluó el estado previo, el estado durante el evento y el estado posterior. Este enfoque permite estudiar no solo dónde ocurre el evento, sino también de dónde viene el sistema y hacia dónde evoluciona después.</w:t>
      </w:r>
    </w:p>
    <w:p w14:paraId="5C9BAAB2"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análisis mostró que los eventos severos tienen mayor probabilidad de estar precedidos por estados patológicos o vulnerables. Esto sugiere que la severidad no surge de manera completamente abrupta, sino que puede estar precedida por una configuración fisiológica desfavorable. A su vez, la recuperación posterior depende marcadamente de la escala temporal.</w:t>
      </w:r>
    </w:p>
    <w:p w14:paraId="5AF0620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 escala S, una proporción relevante de eventos severos fue seguida por retorno a estados no patológicos. Esto indica que, en la microdinámica de segundos, el organismo conserva cierta capacidad de recuperación rápida. Sin embargo, a escala M la resiliencia disminuyó de forma pronunciada, y a escala L fue prácticamente inexistente. Cuando un evento severo ocurre dentro de un bloque largo patológico, la probabilidad de que el sistema retorne inmediatamente a un estado protector es muy baja.</w:t>
      </w:r>
    </w:p>
    <w:p w14:paraId="52EE826F"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6.4. Resiliencia posterior a eventos severos según escala temporal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348"/>
        <w:gridCol w:w="2069"/>
        <w:gridCol w:w="2971"/>
      </w:tblGrid>
      <w:tr w:rsidR="00150C32" w:rsidRPr="00150C32" w14:paraId="31DBE184" w14:textId="77777777">
        <w:trPr>
          <w:tblHeader/>
          <w:tblCellSpacing w:w="15" w:type="dxa"/>
        </w:trPr>
        <w:tc>
          <w:tcPr>
            <w:tcW w:w="0" w:type="auto"/>
            <w:vAlign w:val="center"/>
            <w:hideMark/>
          </w:tcPr>
          <w:p w14:paraId="230EC3E1"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Escala</w:t>
            </w:r>
          </w:p>
        </w:tc>
        <w:tc>
          <w:tcPr>
            <w:tcW w:w="0" w:type="auto"/>
            <w:vAlign w:val="center"/>
            <w:hideMark/>
          </w:tcPr>
          <w:p w14:paraId="087D4344"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Resiliencia post-evento severo</w:t>
            </w:r>
          </w:p>
        </w:tc>
        <w:tc>
          <w:tcPr>
            <w:tcW w:w="0" w:type="auto"/>
            <w:vAlign w:val="center"/>
            <w:hideMark/>
          </w:tcPr>
          <w:p w14:paraId="488A47D7"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Colapso post-evento severo</w:t>
            </w:r>
          </w:p>
        </w:tc>
        <w:tc>
          <w:tcPr>
            <w:tcW w:w="0" w:type="auto"/>
            <w:vAlign w:val="center"/>
            <w:hideMark/>
          </w:tcPr>
          <w:p w14:paraId="7BF2EF86"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w:t>
            </w:r>
          </w:p>
        </w:tc>
      </w:tr>
      <w:tr w:rsidR="00150C32" w:rsidRPr="00150C32" w14:paraId="77E3622E" w14:textId="77777777">
        <w:trPr>
          <w:tblCellSpacing w:w="15" w:type="dxa"/>
        </w:trPr>
        <w:tc>
          <w:tcPr>
            <w:tcW w:w="0" w:type="auto"/>
            <w:vAlign w:val="center"/>
            <w:hideMark/>
          </w:tcPr>
          <w:p w14:paraId="5B6745C4"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 — 30 segundos</w:t>
            </w:r>
          </w:p>
        </w:tc>
        <w:tc>
          <w:tcPr>
            <w:tcW w:w="0" w:type="auto"/>
            <w:vAlign w:val="center"/>
            <w:hideMark/>
          </w:tcPr>
          <w:p w14:paraId="23EC4E9D"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44,2 %</w:t>
            </w:r>
          </w:p>
        </w:tc>
        <w:tc>
          <w:tcPr>
            <w:tcW w:w="0" w:type="auto"/>
            <w:vAlign w:val="center"/>
            <w:hideMark/>
          </w:tcPr>
          <w:p w14:paraId="3B90B1C8"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29,5 %</w:t>
            </w:r>
          </w:p>
        </w:tc>
        <w:tc>
          <w:tcPr>
            <w:tcW w:w="0" w:type="auto"/>
            <w:vAlign w:val="center"/>
            <w:hideMark/>
          </w:tcPr>
          <w:p w14:paraId="390109D7"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Recuperación rápida aún posible</w:t>
            </w:r>
          </w:p>
        </w:tc>
      </w:tr>
      <w:tr w:rsidR="00150C32" w:rsidRPr="00150C32" w14:paraId="45145F03" w14:textId="77777777">
        <w:trPr>
          <w:tblCellSpacing w:w="15" w:type="dxa"/>
        </w:trPr>
        <w:tc>
          <w:tcPr>
            <w:tcW w:w="0" w:type="auto"/>
            <w:vAlign w:val="center"/>
            <w:hideMark/>
          </w:tcPr>
          <w:p w14:paraId="693A802F"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 — 5 minutos</w:t>
            </w:r>
          </w:p>
        </w:tc>
        <w:tc>
          <w:tcPr>
            <w:tcW w:w="0" w:type="auto"/>
            <w:vAlign w:val="center"/>
            <w:hideMark/>
          </w:tcPr>
          <w:p w14:paraId="0454867C"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11,2 %</w:t>
            </w:r>
          </w:p>
        </w:tc>
        <w:tc>
          <w:tcPr>
            <w:tcW w:w="0" w:type="auto"/>
            <w:vAlign w:val="center"/>
            <w:hideMark/>
          </w:tcPr>
          <w:p w14:paraId="39B7FCBE"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68,1 %</w:t>
            </w:r>
          </w:p>
        </w:tc>
        <w:tc>
          <w:tcPr>
            <w:tcW w:w="0" w:type="auto"/>
            <w:vAlign w:val="center"/>
            <w:hideMark/>
          </w:tcPr>
          <w:p w14:paraId="6267D99E"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Persistencia mesofisiológica patológica</w:t>
            </w:r>
          </w:p>
        </w:tc>
      </w:tr>
      <w:tr w:rsidR="00150C32" w:rsidRPr="00150C32" w14:paraId="6A2FD103" w14:textId="77777777">
        <w:trPr>
          <w:tblCellSpacing w:w="15" w:type="dxa"/>
        </w:trPr>
        <w:tc>
          <w:tcPr>
            <w:tcW w:w="0" w:type="auto"/>
            <w:vAlign w:val="center"/>
            <w:hideMark/>
          </w:tcPr>
          <w:p w14:paraId="398DBD0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 — 30 minutos</w:t>
            </w:r>
          </w:p>
        </w:tc>
        <w:tc>
          <w:tcPr>
            <w:tcW w:w="0" w:type="auto"/>
            <w:vAlign w:val="center"/>
            <w:hideMark/>
          </w:tcPr>
          <w:p w14:paraId="0D9A4FBA"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1,7 %</w:t>
            </w:r>
          </w:p>
        </w:tc>
        <w:tc>
          <w:tcPr>
            <w:tcW w:w="0" w:type="auto"/>
            <w:vAlign w:val="center"/>
            <w:hideMark/>
          </w:tcPr>
          <w:p w14:paraId="73F1484B"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60,9 %</w:t>
            </w:r>
          </w:p>
        </w:tc>
        <w:tc>
          <w:tcPr>
            <w:tcW w:w="0" w:type="auto"/>
            <w:vAlign w:val="center"/>
            <w:hideMark/>
          </w:tcPr>
          <w:p w14:paraId="0A6F4828"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Vulnerabilidad estructural prolongada</w:t>
            </w:r>
          </w:p>
        </w:tc>
      </w:tr>
    </w:tbl>
    <w:p w14:paraId="47725FE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La resiliencia de solo 1,7 % a escala L constituye uno de los hallazgos más relevantes del análisis dinámico. Sugiere que los estados largos no representan fluctuaciones transitorias, sino segmentos de la noche con organización fisiológica persistente. En otras palabras, cuando la noche entra en un bloque prolongado de vulnerabilidad, el evento severo no es un accidente aislado, sino parte de una arquitectura patológica más estable.</w:t>
      </w:r>
    </w:p>
    <w:p w14:paraId="09D68F91"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lastRenderedPageBreak/>
        <w:t>Figura 6.2. Resiliencia post-evento en escalas S, M y L.</w:t>
      </w:r>
      <w:r w:rsidRPr="00150C32">
        <w:rPr>
          <w:rFonts w:ascii="Times New Roman" w:eastAsia="Times New Roman" w:hAnsi="Times New Roman" w:cs="Times New Roman"/>
          <w:kern w:val="0"/>
          <w:lang w:eastAsia="es-MX"/>
          <w14:ligatures w14:val="none"/>
        </w:rPr>
        <w:br/>
        <w:t>Se propone un gráfico de barras que compare resiliencia y colapso posterior a eventos severos en las tres escalas. La figura debería enfatizar la caída progresiva de la recuperación desde la escala S hacia la escala L.</w:t>
      </w:r>
    </w:p>
    <w:p w14:paraId="074E7550"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6.6. Dinámica Markoviana y corredores de vulnerabilidad</w:t>
      </w:r>
    </w:p>
    <w:p w14:paraId="67F7240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análisis de transiciones entre estados permitió explorar si la noche sigue patrones dinámicos recurrentes. Para cada escala se construyeron matrices de transición que estiman la probabilidad de pasar de un estado a otro en el siguiente intervalo temporal. Estas matrices permiten identificar no solo estados frecuentes, sino también rutas dinámicas preferenciales.</w:t>
      </w:r>
    </w:p>
    <w:p w14:paraId="0F2EE416"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Los resultados sugieren que la noche no transita de manera aleatoria entre estados. Existen corredores de vulnerabilidad, es decir, secuencias de estados que aumentan la probabilidad de ingresar en configuraciones patológicas. A escala M, ciertos recorridos hacia estados como M5 o M7 se asociaron con mayor riesgo de eventos severos. Este hallazgo refuerza la idea de que el riesgo fisiológico se acumula temporalmente y puede detectarse antes de que el evento severo ocurra.</w:t>
      </w:r>
    </w:p>
    <w:p w14:paraId="14F0DFE9"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Desde el punto de vista clínico, esta perspectiva es importante porque abre la posibilidad de interpretar la noche como una trayectoria de riesgo. En lugar de esperar a que el evento ocurra para clasificarlo, el sistema podría reconocer patrones de transición que indiquen aumento progresivo de vulnerabilidad. Esta idea será especialmente relevante para los desarrollos prospectivos y aplicaciones de monitoreo en tiempo real.</w:t>
      </w:r>
    </w:p>
    <w:p w14:paraId="77CA9EC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Figura 6.3. Matriz de transición Markoviana de PAC States.</w:t>
      </w:r>
      <w:r w:rsidRPr="00150C32">
        <w:rPr>
          <w:rFonts w:ascii="Times New Roman" w:eastAsia="Times New Roman" w:hAnsi="Times New Roman" w:cs="Times New Roman"/>
          <w:kern w:val="0"/>
          <w:lang w:eastAsia="es-MX"/>
          <w14:ligatures w14:val="none"/>
        </w:rPr>
        <w:br/>
        <w:t>Se propone representar la matriz de transición de escala M, destacando los corredores hacia estados patológicos. La figura debería mostrar la persistencia de ciertos estados y las rutas preferenciales de entrada en vulnerabilidad.</w:t>
      </w:r>
    </w:p>
    <w:p w14:paraId="333AD7F2"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6.7. Trayectorias nocturnas: fenotipos dinámicos globales</w:t>
      </w:r>
    </w:p>
    <w:p w14:paraId="737B1EA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siguiente nivel de integración consistió en resumir la noche completa como una trayectoria fisiológica. Para ello se utilizaron variables derivadas de estados PAC, eventos severos, ARI, coupling index, entropía y transiciones. Sobre este vector nocturno se aplicó reducción dimensional y clustering, identificando tres fenotipos dinámicos principales.</w:t>
      </w:r>
    </w:p>
    <w:p w14:paraId="5554C2CA"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primer fenotipo corresponde a noches estables o protectoras. Estas noches presentan baja proporción de estados patológicos, pocos eventos severos, menor carga hipóxica y dinámica relativamente ordenada. El segundo fenotipo representa una carga intermedia, con alternancia entre segmentos estables y vulnerables. El tercer fenotipo corresponde a noches de alta carga hipóxica, caracterizadas por mayor presencia de estados patológicos, más eventos severos, mayor acoplamiento y menor resiliencia.</w:t>
      </w:r>
    </w:p>
    <w:p w14:paraId="2FC1A776"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lastRenderedPageBreak/>
        <w:t>Tabla 6.5. Fenotipos dinámicos nocturnos identificados por PAC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555"/>
        <w:gridCol w:w="3608"/>
        <w:gridCol w:w="2840"/>
      </w:tblGrid>
      <w:tr w:rsidR="00150C32" w:rsidRPr="00150C32" w14:paraId="19C05313" w14:textId="77777777">
        <w:trPr>
          <w:tblHeader/>
          <w:tblCellSpacing w:w="15" w:type="dxa"/>
        </w:trPr>
        <w:tc>
          <w:tcPr>
            <w:tcW w:w="0" w:type="auto"/>
            <w:vAlign w:val="center"/>
            <w:hideMark/>
          </w:tcPr>
          <w:p w14:paraId="334218CF"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Cluster</w:t>
            </w:r>
          </w:p>
        </w:tc>
        <w:tc>
          <w:tcPr>
            <w:tcW w:w="0" w:type="auto"/>
            <w:vAlign w:val="center"/>
            <w:hideMark/>
          </w:tcPr>
          <w:p w14:paraId="09BE86DB"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Nombre propuesto</w:t>
            </w:r>
          </w:p>
        </w:tc>
        <w:tc>
          <w:tcPr>
            <w:tcW w:w="0" w:type="auto"/>
            <w:vAlign w:val="center"/>
            <w:hideMark/>
          </w:tcPr>
          <w:p w14:paraId="6D48483D"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Perfil fisiológico</w:t>
            </w:r>
          </w:p>
        </w:tc>
        <w:tc>
          <w:tcPr>
            <w:tcW w:w="0" w:type="auto"/>
            <w:vAlign w:val="center"/>
            <w:hideMark/>
          </w:tcPr>
          <w:p w14:paraId="09082D59"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 clínica</w:t>
            </w:r>
          </w:p>
        </w:tc>
      </w:tr>
      <w:tr w:rsidR="00150C32" w:rsidRPr="00150C32" w14:paraId="54490896" w14:textId="77777777">
        <w:trPr>
          <w:tblCellSpacing w:w="15" w:type="dxa"/>
        </w:trPr>
        <w:tc>
          <w:tcPr>
            <w:tcW w:w="0" w:type="auto"/>
            <w:vAlign w:val="center"/>
            <w:hideMark/>
          </w:tcPr>
          <w:p w14:paraId="023FCC09"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w:t>
            </w:r>
          </w:p>
        </w:tc>
        <w:tc>
          <w:tcPr>
            <w:tcW w:w="0" w:type="auto"/>
            <w:vAlign w:val="center"/>
            <w:hideMark/>
          </w:tcPr>
          <w:p w14:paraId="6483175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Estable-protector</w:t>
            </w:r>
          </w:p>
        </w:tc>
        <w:tc>
          <w:tcPr>
            <w:tcW w:w="0" w:type="auto"/>
            <w:vAlign w:val="center"/>
            <w:hideMark/>
          </w:tcPr>
          <w:p w14:paraId="14241711"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Baja carga hipóxica, pocos estados patológicos</w:t>
            </w:r>
          </w:p>
        </w:tc>
        <w:tc>
          <w:tcPr>
            <w:tcW w:w="0" w:type="auto"/>
            <w:vAlign w:val="center"/>
            <w:hideMark/>
          </w:tcPr>
          <w:p w14:paraId="4795AE35"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Noche fisiológicamente más resiliente</w:t>
            </w:r>
          </w:p>
        </w:tc>
      </w:tr>
      <w:tr w:rsidR="00150C32" w:rsidRPr="00150C32" w14:paraId="2001BADF" w14:textId="77777777">
        <w:trPr>
          <w:tblCellSpacing w:w="15" w:type="dxa"/>
        </w:trPr>
        <w:tc>
          <w:tcPr>
            <w:tcW w:w="0" w:type="auto"/>
            <w:vAlign w:val="center"/>
            <w:hideMark/>
          </w:tcPr>
          <w:p w14:paraId="10DB3A76"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1</w:t>
            </w:r>
          </w:p>
        </w:tc>
        <w:tc>
          <w:tcPr>
            <w:tcW w:w="0" w:type="auto"/>
            <w:vAlign w:val="center"/>
            <w:hideMark/>
          </w:tcPr>
          <w:p w14:paraId="455E7DC9"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Carga intermedia</w:t>
            </w:r>
          </w:p>
        </w:tc>
        <w:tc>
          <w:tcPr>
            <w:tcW w:w="0" w:type="auto"/>
            <w:vAlign w:val="center"/>
            <w:hideMark/>
          </w:tcPr>
          <w:p w14:paraId="550C5558"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Alternancia entre estabilidad y vulnerabilidad</w:t>
            </w:r>
          </w:p>
        </w:tc>
        <w:tc>
          <w:tcPr>
            <w:tcW w:w="0" w:type="auto"/>
            <w:vAlign w:val="center"/>
            <w:hideMark/>
          </w:tcPr>
          <w:p w14:paraId="5532FC31"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Noche de riesgo fluctuante</w:t>
            </w:r>
          </w:p>
        </w:tc>
      </w:tr>
      <w:tr w:rsidR="00150C32" w:rsidRPr="00150C32" w14:paraId="58ED55C2" w14:textId="77777777">
        <w:trPr>
          <w:tblCellSpacing w:w="15" w:type="dxa"/>
        </w:trPr>
        <w:tc>
          <w:tcPr>
            <w:tcW w:w="0" w:type="auto"/>
            <w:vAlign w:val="center"/>
            <w:hideMark/>
          </w:tcPr>
          <w:p w14:paraId="7D6AB308"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2</w:t>
            </w:r>
          </w:p>
        </w:tc>
        <w:tc>
          <w:tcPr>
            <w:tcW w:w="0" w:type="auto"/>
            <w:vAlign w:val="center"/>
            <w:hideMark/>
          </w:tcPr>
          <w:p w14:paraId="016338B0"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Alta carga hipóxica</w:t>
            </w:r>
          </w:p>
        </w:tc>
        <w:tc>
          <w:tcPr>
            <w:tcW w:w="0" w:type="auto"/>
            <w:vAlign w:val="center"/>
            <w:hideMark/>
          </w:tcPr>
          <w:p w14:paraId="5682784D"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Persistencia patológica, más C4–C5, mayor acoplamiento</w:t>
            </w:r>
          </w:p>
        </w:tc>
        <w:tc>
          <w:tcPr>
            <w:tcW w:w="0" w:type="auto"/>
            <w:vAlign w:val="center"/>
            <w:hideMark/>
          </w:tcPr>
          <w:p w14:paraId="664DFCEF"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Noche de alta vulnerabilidad fisiológica</w:t>
            </w:r>
          </w:p>
        </w:tc>
      </w:tr>
    </w:tbl>
    <w:p w14:paraId="23FFD3C3"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Este análisis es importante porque transforma múltiples variables complejas en una clasificación interpretable de noches. La noche deja de ser un conjunto de índices aislados y pasa a representarse como un fenotipo dinámico global. Esta clasificación no reemplaza a la severidad clínica clásica, pero puede complementarla. Una noche moderada por ODI puede tener trayectoria estable o intermedia; una noche con similar número de eventos puede diferir en persistencia patológica y capacidad de recuperación.</w:t>
      </w:r>
    </w:p>
    <w:p w14:paraId="286BA2FA"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Figura 6.4. Trayectorias nocturnas en el espacio PCA.</w:t>
      </w:r>
      <w:r w:rsidRPr="00150C32">
        <w:rPr>
          <w:rFonts w:ascii="Times New Roman" w:eastAsia="Times New Roman" w:hAnsi="Times New Roman" w:cs="Times New Roman"/>
          <w:kern w:val="0"/>
          <w:lang w:eastAsia="es-MX"/>
          <w14:ligatures w14:val="none"/>
        </w:rPr>
        <w:br/>
        <w:t>Se propone un gráfico PC1–PC2 coloreado por cluster de trayectoria. El eje PC1 puede interpretarse como un gradiente de carga hipóxica y severidad morfológica, mientras que PC2 puede reflejar dinámica, entropía o transición entre estados.</w:t>
      </w:r>
    </w:p>
    <w:p w14:paraId="44582112"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6.8. Validación predictiva de las features PAC mediante LOPO-CV</w:t>
      </w:r>
    </w:p>
    <w:p w14:paraId="03F977A0"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Una vez caracterizados los estados, el acoplamiento y las trayectorias, se evaluó si estas representaciones permiten predecir severidad nocturna en pacientes no vistos. Para ello se utilizó validación leave-one-patient-out, un diseño particularmente exigente en cohortes pequeñas porque impide que el modelo aprenda características idiosincráticas del mismo paciente en entrenamiento y prueba.</w:t>
      </w:r>
    </w:p>
    <w:p w14:paraId="146EDE90"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objetivo de esta etapa no fue solamente obtener una métrica global de clasificación, sino comparar el aporte relativo de distintos grupos de variables. Las features se organizaron en grupos: PAC States, dinámica PAC, morfotipos, variables clínicas clásicas, sueño y ARI/IRD. El resultado más relevante fue que los PAC States constituyeron el grupo predictor principal.</w:t>
      </w:r>
    </w:p>
    <w:p w14:paraId="7C5CFEF2"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6.6. Ranking conceptual de grupos de features en predicción nocturna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2565"/>
        <w:gridCol w:w="5317"/>
      </w:tblGrid>
      <w:tr w:rsidR="00150C32" w:rsidRPr="00150C32" w14:paraId="7645C800" w14:textId="77777777">
        <w:trPr>
          <w:tblHeader/>
          <w:tblCellSpacing w:w="15" w:type="dxa"/>
        </w:trPr>
        <w:tc>
          <w:tcPr>
            <w:tcW w:w="0" w:type="auto"/>
            <w:vAlign w:val="center"/>
            <w:hideMark/>
          </w:tcPr>
          <w:p w14:paraId="16AD7271"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Ranking</w:t>
            </w:r>
          </w:p>
        </w:tc>
        <w:tc>
          <w:tcPr>
            <w:tcW w:w="0" w:type="auto"/>
            <w:vAlign w:val="center"/>
            <w:hideMark/>
          </w:tcPr>
          <w:p w14:paraId="170C1B84"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Grupo de features</w:t>
            </w:r>
          </w:p>
        </w:tc>
        <w:tc>
          <w:tcPr>
            <w:tcW w:w="0" w:type="auto"/>
            <w:vAlign w:val="center"/>
            <w:hideMark/>
          </w:tcPr>
          <w:p w14:paraId="46884ED9"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w:t>
            </w:r>
          </w:p>
        </w:tc>
      </w:tr>
      <w:tr w:rsidR="00150C32" w:rsidRPr="00150C32" w14:paraId="7489F043" w14:textId="77777777">
        <w:trPr>
          <w:tblCellSpacing w:w="15" w:type="dxa"/>
        </w:trPr>
        <w:tc>
          <w:tcPr>
            <w:tcW w:w="0" w:type="auto"/>
            <w:vAlign w:val="center"/>
            <w:hideMark/>
          </w:tcPr>
          <w:p w14:paraId="6E169ACA"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1</w:t>
            </w:r>
          </w:p>
        </w:tc>
        <w:tc>
          <w:tcPr>
            <w:tcW w:w="0" w:type="auto"/>
            <w:vAlign w:val="center"/>
            <w:hideMark/>
          </w:tcPr>
          <w:p w14:paraId="743D1BB5"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PAC States S/M/L</w:t>
            </w:r>
          </w:p>
        </w:tc>
        <w:tc>
          <w:tcPr>
            <w:tcW w:w="0" w:type="auto"/>
            <w:vAlign w:val="center"/>
            <w:hideMark/>
          </w:tcPr>
          <w:p w14:paraId="675CF759"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Principal representación predictiva de severidad</w:t>
            </w:r>
          </w:p>
        </w:tc>
      </w:tr>
      <w:tr w:rsidR="00150C32" w:rsidRPr="00150C32" w14:paraId="20C81696" w14:textId="77777777">
        <w:trPr>
          <w:tblCellSpacing w:w="15" w:type="dxa"/>
        </w:trPr>
        <w:tc>
          <w:tcPr>
            <w:tcW w:w="0" w:type="auto"/>
            <w:vAlign w:val="center"/>
            <w:hideMark/>
          </w:tcPr>
          <w:p w14:paraId="6AD33FDC"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2</w:t>
            </w:r>
          </w:p>
        </w:tc>
        <w:tc>
          <w:tcPr>
            <w:tcW w:w="0" w:type="auto"/>
            <w:vAlign w:val="center"/>
            <w:hideMark/>
          </w:tcPr>
          <w:p w14:paraId="4545CEF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Dinámica PAC</w:t>
            </w:r>
          </w:p>
        </w:tc>
        <w:tc>
          <w:tcPr>
            <w:tcW w:w="0" w:type="auto"/>
            <w:vAlign w:val="center"/>
            <w:hideMark/>
          </w:tcPr>
          <w:p w14:paraId="22228153"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Entropía y transiciones agregan información temporal</w:t>
            </w:r>
          </w:p>
        </w:tc>
      </w:tr>
      <w:tr w:rsidR="00150C32" w:rsidRPr="00150C32" w14:paraId="6E941841" w14:textId="77777777">
        <w:trPr>
          <w:tblCellSpacing w:w="15" w:type="dxa"/>
        </w:trPr>
        <w:tc>
          <w:tcPr>
            <w:tcW w:w="0" w:type="auto"/>
            <w:vAlign w:val="center"/>
            <w:hideMark/>
          </w:tcPr>
          <w:p w14:paraId="37172C45"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3</w:t>
            </w:r>
          </w:p>
        </w:tc>
        <w:tc>
          <w:tcPr>
            <w:tcW w:w="0" w:type="auto"/>
            <w:vAlign w:val="center"/>
            <w:hideMark/>
          </w:tcPr>
          <w:p w14:paraId="0F0A1A40"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Morfotipos C1–C5</w:t>
            </w:r>
          </w:p>
        </w:tc>
        <w:tc>
          <w:tcPr>
            <w:tcW w:w="0" w:type="auto"/>
            <w:vAlign w:val="center"/>
            <w:hideMark/>
          </w:tcPr>
          <w:p w14:paraId="119DD229"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Capturan composición morfológica de eventos</w:t>
            </w:r>
          </w:p>
        </w:tc>
      </w:tr>
      <w:tr w:rsidR="00150C32" w:rsidRPr="00150C32" w14:paraId="53ED6E55" w14:textId="77777777">
        <w:trPr>
          <w:tblCellSpacing w:w="15" w:type="dxa"/>
        </w:trPr>
        <w:tc>
          <w:tcPr>
            <w:tcW w:w="0" w:type="auto"/>
            <w:vAlign w:val="center"/>
            <w:hideMark/>
          </w:tcPr>
          <w:p w14:paraId="427359A5"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lastRenderedPageBreak/>
              <w:t>4</w:t>
            </w:r>
          </w:p>
        </w:tc>
        <w:tc>
          <w:tcPr>
            <w:tcW w:w="0" w:type="auto"/>
            <w:vAlign w:val="center"/>
            <w:hideMark/>
          </w:tcPr>
          <w:p w14:paraId="5E42D54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Variables clínicas clásicas</w:t>
            </w:r>
          </w:p>
        </w:tc>
        <w:tc>
          <w:tcPr>
            <w:tcW w:w="0" w:type="auto"/>
            <w:vAlign w:val="center"/>
            <w:hideMark/>
          </w:tcPr>
          <w:p w14:paraId="44FDB3F4"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Benchmark de severidad convencional</w:t>
            </w:r>
          </w:p>
        </w:tc>
      </w:tr>
      <w:tr w:rsidR="00150C32" w:rsidRPr="00150C32" w14:paraId="0C531BA0" w14:textId="77777777">
        <w:trPr>
          <w:tblCellSpacing w:w="15" w:type="dxa"/>
        </w:trPr>
        <w:tc>
          <w:tcPr>
            <w:tcW w:w="0" w:type="auto"/>
            <w:vAlign w:val="center"/>
            <w:hideMark/>
          </w:tcPr>
          <w:p w14:paraId="56AE92C9"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5</w:t>
            </w:r>
          </w:p>
        </w:tc>
        <w:tc>
          <w:tcPr>
            <w:tcW w:w="0" w:type="auto"/>
            <w:vAlign w:val="center"/>
            <w:hideMark/>
          </w:tcPr>
          <w:p w14:paraId="0242160B"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Sueño</w:t>
            </w:r>
          </w:p>
        </w:tc>
        <w:tc>
          <w:tcPr>
            <w:tcW w:w="0" w:type="auto"/>
            <w:vAlign w:val="center"/>
            <w:hideMark/>
          </w:tcPr>
          <w:p w14:paraId="3C54627D"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Información complementaria sobre estructura nocturna</w:t>
            </w:r>
          </w:p>
        </w:tc>
      </w:tr>
      <w:tr w:rsidR="00150C32" w:rsidRPr="00150C32" w14:paraId="5C286585" w14:textId="77777777">
        <w:trPr>
          <w:tblCellSpacing w:w="15" w:type="dxa"/>
        </w:trPr>
        <w:tc>
          <w:tcPr>
            <w:tcW w:w="0" w:type="auto"/>
            <w:vAlign w:val="center"/>
            <w:hideMark/>
          </w:tcPr>
          <w:p w14:paraId="6B5774CE"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6</w:t>
            </w:r>
          </w:p>
        </w:tc>
        <w:tc>
          <w:tcPr>
            <w:tcW w:w="0" w:type="auto"/>
            <w:vAlign w:val="center"/>
            <w:hideMark/>
          </w:tcPr>
          <w:p w14:paraId="1528FF12"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ARI/IRD</w:t>
            </w:r>
          </w:p>
        </w:tc>
        <w:tc>
          <w:tcPr>
            <w:tcW w:w="0" w:type="auto"/>
            <w:vAlign w:val="center"/>
            <w:hideMark/>
          </w:tcPr>
          <w:p w14:paraId="60CE0F28"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Dimensión autonómica parcialmente ortogonal</w:t>
            </w:r>
          </w:p>
        </w:tc>
      </w:tr>
    </w:tbl>
    <w:p w14:paraId="14CB800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Este hallazgo tiene valor conceptual para la tesis. Los PAC States fueron aprendidos de manera no supervisada a partir de señales fisiológicas, sin utilizar directamente etiquetas clínicas de severidad. Sin embargo, emergen como una representación predictiva relevante. Esto sugiere que la estructura dinámica de la señal contiene información fisiopatológica que no se reduce a los índices agregados.</w:t>
      </w:r>
    </w:p>
    <w:p w14:paraId="5DFC394E"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comportamiento del ARI también es coherente con los capítulos previos. Su menor contribución directa a la clasificación de severidad no debe interpretarse como falta de valor, sino como evidencia de que mide una dimensión diferente. El ARI no parece ser un predictor lineal simple de severidad AASM, sino un marcador de respuesta autonómica relativa, potencialmente útil para caracterizar resiliencia o vulnerabilidad fisiológica individual.</w:t>
      </w:r>
    </w:p>
    <w:p w14:paraId="302F4339"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Figura 6.5. Importancia relativa de grupos de features.</w:t>
      </w:r>
      <w:r w:rsidRPr="00150C32">
        <w:rPr>
          <w:rFonts w:ascii="Times New Roman" w:eastAsia="Times New Roman" w:hAnsi="Times New Roman" w:cs="Times New Roman"/>
          <w:kern w:val="0"/>
          <w:lang w:eastAsia="es-MX"/>
          <w14:ligatures w14:val="none"/>
        </w:rPr>
        <w:br/>
        <w:t>Se propone un gráfico de barras con la contribución de PAC States, dinámica, morfotipos, variables clínicas, sueño y ARI. La figura debería destacar que las variables dinámicas derivadas de PAC ocupan el primer lugar.</w:t>
      </w:r>
    </w:p>
    <w:p w14:paraId="2032AC0A"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6.9. Modelo predictivo a nivel de evento</w:t>
      </w:r>
    </w:p>
    <w:p w14:paraId="52FEB64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modelo de evento tuvo como objetivo estimar la probabilidad de que un EDO individual correspondiera a un morfotipo severo C4–C5. Esta tarea es clínicamente relevante porque no todos los eventos tienen el mismo impacto fisiológico. Identificar eventos con mayor probabilidad de severidad permitiría priorizar segmentos de la noche, estudiar patrones de vulnerabilidad y eventualmente diseñar sistemas de alerta o intervención.</w:t>
      </w:r>
    </w:p>
    <w:p w14:paraId="10A48A6F"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Se comparó una regresión logística como modelo basal con un modelo LightGBM como clasificador no lineal. Ambos modelos utilizaron features temporales y contextuales calculadas de forma causal. El modelo LightGBM mostró un rendimiento claramente superior, con AUC global LOPO de 0,887 y average precision de 0,374. Dado el desbalance de clases, la average precision es especialmente informativa, ya que los eventos severos representan una proporción minoritaria del total.</w:t>
      </w:r>
    </w:p>
    <w:p w14:paraId="135F6B5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6.7. Rendimiento del modelo predictivo de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341"/>
        <w:gridCol w:w="1080"/>
        <w:gridCol w:w="1542"/>
        <w:gridCol w:w="3275"/>
      </w:tblGrid>
      <w:tr w:rsidR="00150C32" w:rsidRPr="00150C32" w14:paraId="6B88C8A0" w14:textId="77777777">
        <w:trPr>
          <w:tblHeader/>
          <w:tblCellSpacing w:w="15" w:type="dxa"/>
        </w:trPr>
        <w:tc>
          <w:tcPr>
            <w:tcW w:w="0" w:type="auto"/>
            <w:vAlign w:val="center"/>
            <w:hideMark/>
          </w:tcPr>
          <w:p w14:paraId="4EA69A9D"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lastRenderedPageBreak/>
              <w:t>Modelo</w:t>
            </w:r>
          </w:p>
        </w:tc>
        <w:tc>
          <w:tcPr>
            <w:tcW w:w="0" w:type="auto"/>
            <w:vAlign w:val="center"/>
            <w:hideMark/>
          </w:tcPr>
          <w:p w14:paraId="68864BFB"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Target</w:t>
            </w:r>
          </w:p>
        </w:tc>
        <w:tc>
          <w:tcPr>
            <w:tcW w:w="0" w:type="auto"/>
            <w:vAlign w:val="center"/>
            <w:hideMark/>
          </w:tcPr>
          <w:p w14:paraId="031DB8F3"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AUC LOPO</w:t>
            </w:r>
          </w:p>
        </w:tc>
        <w:tc>
          <w:tcPr>
            <w:tcW w:w="0" w:type="auto"/>
            <w:vAlign w:val="center"/>
            <w:hideMark/>
          </w:tcPr>
          <w:p w14:paraId="264CF0CF"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Average Precision</w:t>
            </w:r>
          </w:p>
        </w:tc>
        <w:tc>
          <w:tcPr>
            <w:tcW w:w="0" w:type="auto"/>
            <w:vAlign w:val="center"/>
            <w:hideMark/>
          </w:tcPr>
          <w:p w14:paraId="70BF0752"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w:t>
            </w:r>
          </w:p>
        </w:tc>
      </w:tr>
      <w:tr w:rsidR="00150C32" w:rsidRPr="00150C32" w14:paraId="1EC18324" w14:textId="77777777">
        <w:trPr>
          <w:tblCellSpacing w:w="15" w:type="dxa"/>
        </w:trPr>
        <w:tc>
          <w:tcPr>
            <w:tcW w:w="0" w:type="auto"/>
            <w:vAlign w:val="center"/>
            <w:hideMark/>
          </w:tcPr>
          <w:p w14:paraId="79859B48"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Regresión logística</w:t>
            </w:r>
          </w:p>
        </w:tc>
        <w:tc>
          <w:tcPr>
            <w:tcW w:w="0" w:type="auto"/>
            <w:vAlign w:val="center"/>
            <w:hideMark/>
          </w:tcPr>
          <w:p w14:paraId="15A30E6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C4–C5 vs C1–C3</w:t>
            </w:r>
          </w:p>
        </w:tc>
        <w:tc>
          <w:tcPr>
            <w:tcW w:w="0" w:type="auto"/>
            <w:vAlign w:val="center"/>
            <w:hideMark/>
          </w:tcPr>
          <w:p w14:paraId="2B6D030D"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0,712</w:t>
            </w:r>
          </w:p>
        </w:tc>
        <w:tc>
          <w:tcPr>
            <w:tcW w:w="0" w:type="auto"/>
            <w:vAlign w:val="center"/>
            <w:hideMark/>
          </w:tcPr>
          <w:p w14:paraId="101ADDF2"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0,175</w:t>
            </w:r>
          </w:p>
        </w:tc>
        <w:tc>
          <w:tcPr>
            <w:tcW w:w="0" w:type="auto"/>
            <w:vAlign w:val="center"/>
            <w:hideMark/>
          </w:tcPr>
          <w:p w14:paraId="71C146AE"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Baseline lineal con señal predictiva moderada</w:t>
            </w:r>
          </w:p>
        </w:tc>
      </w:tr>
      <w:tr w:rsidR="00150C32" w:rsidRPr="00150C32" w14:paraId="10E3586D" w14:textId="77777777">
        <w:trPr>
          <w:tblCellSpacing w:w="15" w:type="dxa"/>
        </w:trPr>
        <w:tc>
          <w:tcPr>
            <w:tcW w:w="0" w:type="auto"/>
            <w:vAlign w:val="center"/>
            <w:hideMark/>
          </w:tcPr>
          <w:p w14:paraId="00D0AE36"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LightGBM</w:t>
            </w:r>
          </w:p>
        </w:tc>
        <w:tc>
          <w:tcPr>
            <w:tcW w:w="0" w:type="auto"/>
            <w:vAlign w:val="center"/>
            <w:hideMark/>
          </w:tcPr>
          <w:p w14:paraId="60B7EE95"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C4–C5 vs C1–C3</w:t>
            </w:r>
          </w:p>
        </w:tc>
        <w:tc>
          <w:tcPr>
            <w:tcW w:w="0" w:type="auto"/>
            <w:vAlign w:val="center"/>
            <w:hideMark/>
          </w:tcPr>
          <w:p w14:paraId="0B48C757"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0,887</w:t>
            </w:r>
          </w:p>
        </w:tc>
        <w:tc>
          <w:tcPr>
            <w:tcW w:w="0" w:type="auto"/>
            <w:vAlign w:val="center"/>
            <w:hideMark/>
          </w:tcPr>
          <w:p w14:paraId="02140131"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0,374</w:t>
            </w:r>
          </w:p>
        </w:tc>
        <w:tc>
          <w:tcPr>
            <w:tcW w:w="0" w:type="auto"/>
            <w:vAlign w:val="center"/>
            <w:hideMark/>
          </w:tcPr>
          <w:p w14:paraId="547E6B33"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Modelo no lineal con alta discriminación</w:t>
            </w:r>
          </w:p>
        </w:tc>
      </w:tr>
    </w:tbl>
    <w:p w14:paraId="7CC4105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rendimiento del LightGBM indica que la severidad morfológica de un evento puede inferirse parcialmente a partir del contexto fisiológico previo y concurrente. Esto refuerza la hipótesis de que los eventos severos no son puramente aleatorios, sino que emergen de configuraciones dinámicas detectables.</w:t>
      </w:r>
    </w:p>
    <w:p w14:paraId="08B46D32"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Desde una perspectiva clínica, el modelo de evento no debe interpretarse como diagnóstico autónomo, sino como una herramienta de priorización fisiológica. Permite identificar qué eventos merecen mayor atención dentro de una noche y contribuye a la construcción de un perfil de riesgo más granular.</w:t>
      </w:r>
    </w:p>
    <w:p w14:paraId="0CCDCD7E"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Figura 6.6. Curva ROC del modelo de evento.</w:t>
      </w:r>
      <w:r w:rsidRPr="00150C32">
        <w:rPr>
          <w:rFonts w:ascii="Times New Roman" w:eastAsia="Times New Roman" w:hAnsi="Times New Roman" w:cs="Times New Roman"/>
          <w:kern w:val="0"/>
          <w:lang w:eastAsia="es-MX"/>
          <w14:ligatures w14:val="none"/>
        </w:rPr>
        <w:br/>
        <w:t>Se propone comparar la curva ROC de LightGBM con la regresión logística basal. La figura debería incluir AUC global LOPO y, si es posible, curvas por fold/paciente para mostrar heterogeneidad interindividual.</w:t>
      </w:r>
    </w:p>
    <w:p w14:paraId="4E510256"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6.10. Modelo predictivo a nivel de noche</w:t>
      </w:r>
    </w:p>
    <w:p w14:paraId="14D3737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segundo nivel predictivo se desarrolló a escala nocturna. En este caso, el objetivo fue clasificar las noches en bajo riesgo versus riesgo moderado-alto, agrupando Normal+Leve frente a Moderado+Severo. Esta simplificación binaria tiene sentido clínico y metodológico: reduce la inestabilidad de una clasificación multiclase en una cohorte pequeña y se aproxima a una pregunta práctica de estratificación.</w:t>
      </w:r>
    </w:p>
    <w:p w14:paraId="0F023883"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Se compararon modelos de regresión logística y Random Forest. De manera interesante, la regresión logística obtuvo mejor rendimiento global, con AUC LOPO de 0,911 y average precision de 0,869. Este resultado sugiere que, una vez que las señales fisiológicas fueron transformadas en features PAC, la separación entre noches de bajo y mayor riesgo puede ser aproximadamente lineal.</w:t>
      </w:r>
    </w:p>
    <w:p w14:paraId="633EB29C"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6.8. Rendimiento del modelo predictivo nocturno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611"/>
        <w:gridCol w:w="1004"/>
        <w:gridCol w:w="1421"/>
        <w:gridCol w:w="2357"/>
      </w:tblGrid>
      <w:tr w:rsidR="00150C32" w:rsidRPr="00150C32" w14:paraId="56B09A8A" w14:textId="77777777">
        <w:trPr>
          <w:tblHeader/>
          <w:tblCellSpacing w:w="15" w:type="dxa"/>
        </w:trPr>
        <w:tc>
          <w:tcPr>
            <w:tcW w:w="0" w:type="auto"/>
            <w:vAlign w:val="center"/>
            <w:hideMark/>
          </w:tcPr>
          <w:p w14:paraId="7756ED46"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Modelo</w:t>
            </w:r>
          </w:p>
        </w:tc>
        <w:tc>
          <w:tcPr>
            <w:tcW w:w="0" w:type="auto"/>
            <w:vAlign w:val="center"/>
            <w:hideMark/>
          </w:tcPr>
          <w:p w14:paraId="5CD99821"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Target</w:t>
            </w:r>
          </w:p>
        </w:tc>
        <w:tc>
          <w:tcPr>
            <w:tcW w:w="0" w:type="auto"/>
            <w:vAlign w:val="center"/>
            <w:hideMark/>
          </w:tcPr>
          <w:p w14:paraId="22AE1404"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AUC LOPO</w:t>
            </w:r>
          </w:p>
        </w:tc>
        <w:tc>
          <w:tcPr>
            <w:tcW w:w="0" w:type="auto"/>
            <w:vAlign w:val="center"/>
            <w:hideMark/>
          </w:tcPr>
          <w:p w14:paraId="0B4291C2"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Average Precision</w:t>
            </w:r>
          </w:p>
        </w:tc>
        <w:tc>
          <w:tcPr>
            <w:tcW w:w="0" w:type="auto"/>
            <w:vAlign w:val="center"/>
            <w:hideMark/>
          </w:tcPr>
          <w:p w14:paraId="13DE6AB7"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w:t>
            </w:r>
          </w:p>
        </w:tc>
      </w:tr>
      <w:tr w:rsidR="00150C32" w:rsidRPr="00150C32" w14:paraId="6DEC99E1" w14:textId="77777777">
        <w:trPr>
          <w:tblCellSpacing w:w="15" w:type="dxa"/>
        </w:trPr>
        <w:tc>
          <w:tcPr>
            <w:tcW w:w="0" w:type="auto"/>
            <w:vAlign w:val="center"/>
            <w:hideMark/>
          </w:tcPr>
          <w:p w14:paraId="5025727A"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Random Forest</w:t>
            </w:r>
          </w:p>
        </w:tc>
        <w:tc>
          <w:tcPr>
            <w:tcW w:w="0" w:type="auto"/>
            <w:vAlign w:val="center"/>
            <w:hideMark/>
          </w:tcPr>
          <w:p w14:paraId="47A5A410"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Moderado+Severo vs Normal+Leve</w:t>
            </w:r>
          </w:p>
        </w:tc>
        <w:tc>
          <w:tcPr>
            <w:tcW w:w="0" w:type="auto"/>
            <w:vAlign w:val="center"/>
            <w:hideMark/>
          </w:tcPr>
          <w:p w14:paraId="3893C950"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0,874</w:t>
            </w:r>
          </w:p>
        </w:tc>
        <w:tc>
          <w:tcPr>
            <w:tcW w:w="0" w:type="auto"/>
            <w:vAlign w:val="center"/>
            <w:hideMark/>
          </w:tcPr>
          <w:p w14:paraId="189ED131"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0,741</w:t>
            </w:r>
          </w:p>
        </w:tc>
        <w:tc>
          <w:tcPr>
            <w:tcW w:w="0" w:type="auto"/>
            <w:vAlign w:val="center"/>
            <w:hideMark/>
          </w:tcPr>
          <w:p w14:paraId="1FCBF116"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Buen rendimiento, menor que LR</w:t>
            </w:r>
          </w:p>
        </w:tc>
      </w:tr>
      <w:tr w:rsidR="00150C32" w:rsidRPr="00150C32" w14:paraId="4A8C52DA" w14:textId="77777777">
        <w:trPr>
          <w:tblCellSpacing w:w="15" w:type="dxa"/>
        </w:trPr>
        <w:tc>
          <w:tcPr>
            <w:tcW w:w="0" w:type="auto"/>
            <w:vAlign w:val="center"/>
            <w:hideMark/>
          </w:tcPr>
          <w:p w14:paraId="28D8321E"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Regresión logística</w:t>
            </w:r>
          </w:p>
        </w:tc>
        <w:tc>
          <w:tcPr>
            <w:tcW w:w="0" w:type="auto"/>
            <w:vAlign w:val="center"/>
            <w:hideMark/>
          </w:tcPr>
          <w:p w14:paraId="0907799A"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Moderado+Severo vs Normal+Leve</w:t>
            </w:r>
          </w:p>
        </w:tc>
        <w:tc>
          <w:tcPr>
            <w:tcW w:w="0" w:type="auto"/>
            <w:vAlign w:val="center"/>
            <w:hideMark/>
          </w:tcPr>
          <w:p w14:paraId="7ED0AE1B"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0,911</w:t>
            </w:r>
          </w:p>
        </w:tc>
        <w:tc>
          <w:tcPr>
            <w:tcW w:w="0" w:type="auto"/>
            <w:vAlign w:val="center"/>
            <w:hideMark/>
          </w:tcPr>
          <w:p w14:paraId="26B4459C"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0,869</w:t>
            </w:r>
          </w:p>
        </w:tc>
        <w:tc>
          <w:tcPr>
            <w:tcW w:w="0" w:type="auto"/>
            <w:vAlign w:val="center"/>
            <w:hideMark/>
          </w:tcPr>
          <w:p w14:paraId="6CDF38A0"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Mejor discriminación nocturna</w:t>
            </w:r>
          </w:p>
        </w:tc>
      </w:tr>
    </w:tbl>
    <w:p w14:paraId="04535149"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lastRenderedPageBreak/>
        <w:t>La superioridad de un modelo lineal no implica que la fisiología sea simple. Más bien sugiere que la complejidad fue capturada en etapas previas: morfotipos, estados, transiciones, coupling index y trayectorias. El modelo final opera sobre una representación ya estructurada de la noche. En este sentido, PAC actúa como un sistema de extracción fisiológica de features que convierte señales crudas en variables interpretables y predictivas.</w:t>
      </w:r>
    </w:p>
    <w:p w14:paraId="0B621A11"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Este resultado también es importante desde el punto de vista de la explicabilidad. Un modelo lineal permite interpretar con mayor claridad la dirección y magnitud de las contribuciones. En aplicaciones clínicas, esta transparencia puede ser más valiosa que una mejora marginal de rendimiento con modelos más complejos.</w:t>
      </w:r>
    </w:p>
    <w:p w14:paraId="4D8EA8A9"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Figura 6.7. Curva ROC del modelo nocturno.</w:t>
      </w:r>
      <w:r w:rsidRPr="00150C32">
        <w:rPr>
          <w:rFonts w:ascii="Times New Roman" w:eastAsia="Times New Roman" w:hAnsi="Times New Roman" w:cs="Times New Roman"/>
          <w:kern w:val="0"/>
          <w:lang w:eastAsia="es-MX"/>
          <w14:ligatures w14:val="none"/>
        </w:rPr>
        <w:br/>
        <w:t>Se propone una curva ROC para la regresión logística nocturna, comparada con Random Forest. Idealmente, se acompañaría con una tabla de rendimiento por paciente en validación LOPO.</w:t>
      </w:r>
    </w:p>
    <w:p w14:paraId="74E934DB"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6.11. Interpretabilidad del modelo nocturno</w:t>
      </w:r>
    </w:p>
    <w:p w14:paraId="319DB11E"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análisis de interpretabilidad mostró que las variables más influyentes del modelo nocturno fueron consistentes con la narrativa fisiológica desarrollada en los capítulos previos. Entre ellas se destacaron el coupling index, la fracción de estados M patológicos, la proporción de eventos severos, la entropía de estados y las trayectorias nocturnas.</w:t>
      </w:r>
    </w:p>
    <w:p w14:paraId="09A0939C"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Este patrón es relevante porque confirma que el modelo no depende de variables opacas o artefactos técnicos, sino de dimensiones fisiológicas interpretables. La probabilidad de riesgo nocturno aumenta cuando la noche presenta mayor acoplamiento entre eventos severos y estados patológicos, mayor persistencia en estados vulnerables, mayor proporción de morfotipos severos y mayor desorganización dinámica.</w:t>
      </w:r>
    </w:p>
    <w:p w14:paraId="704B74A0"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La interpretabilidad es un componente central de PAC. El objetivo no es construir una caja negra que clasifique noches, sino un sistema que permita explicar por qué una noche es considerada de mayor riesgo. En este sentido, el modelo predictivo funciona como una síntesis cuantitativa de la fisiología dinámica previamente descrita.</w:t>
      </w:r>
    </w:p>
    <w:p w14:paraId="19C61DBB"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6.12. Risk Score PAC: integración evento–noche</w:t>
      </w:r>
    </w:p>
    <w:p w14:paraId="606F4F4C"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paso final del capítulo fue integrar los modelos de evento y noche en un índice continuo de riesgo fisiológico: el Risk Score PAC. Este score combina dos componentes complementarios. El primero resume la probabilidad media de eventos severos estimada por el modelo LightGBM. El segundo resume la probabilidad de que la noche pertenezca al grupo moderado/severo estimada por la regresión logística nocturna.</w:t>
      </w:r>
    </w:p>
    <w:p w14:paraId="2941F193"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 xml:space="preserve">El componente nocturno recibe mayor peso porque representa mejor la carga global de la noche y porque el modelo nocturno mostró mayor rendimiento discriminativo. El </w:t>
      </w:r>
      <w:r w:rsidRPr="00150C32">
        <w:rPr>
          <w:rFonts w:ascii="Times New Roman" w:eastAsia="Times New Roman" w:hAnsi="Times New Roman" w:cs="Times New Roman"/>
          <w:kern w:val="0"/>
          <w:lang w:eastAsia="es-MX"/>
          <w14:ligatures w14:val="none"/>
        </w:rPr>
        <w:lastRenderedPageBreak/>
        <w:t>componente de evento, en cambio, aporta granularidad y sensibilidad a la composición interna de la noche.</w:t>
      </w:r>
    </w:p>
    <w:p w14:paraId="61DD5B82"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Tabla 6.9. Composición del Risk Score PAC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527"/>
        <w:gridCol w:w="2340"/>
        <w:gridCol w:w="2676"/>
      </w:tblGrid>
      <w:tr w:rsidR="00150C32" w:rsidRPr="00150C32" w14:paraId="0C9735CC" w14:textId="77777777">
        <w:trPr>
          <w:tblHeader/>
          <w:tblCellSpacing w:w="15" w:type="dxa"/>
        </w:trPr>
        <w:tc>
          <w:tcPr>
            <w:tcW w:w="0" w:type="auto"/>
            <w:vAlign w:val="center"/>
            <w:hideMark/>
          </w:tcPr>
          <w:p w14:paraId="040C7288"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Componente</w:t>
            </w:r>
          </w:p>
        </w:tc>
        <w:tc>
          <w:tcPr>
            <w:tcW w:w="0" w:type="auto"/>
            <w:vAlign w:val="center"/>
            <w:hideMark/>
          </w:tcPr>
          <w:p w14:paraId="6C9278E3" w14:textId="77777777" w:rsidR="00150C32" w:rsidRPr="00150C32" w:rsidRDefault="00150C32" w:rsidP="00150C32">
            <w:pPr>
              <w:spacing w:after="0" w:line="240" w:lineRule="auto"/>
              <w:jc w:val="right"/>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Peso</w:t>
            </w:r>
          </w:p>
        </w:tc>
        <w:tc>
          <w:tcPr>
            <w:tcW w:w="0" w:type="auto"/>
            <w:vAlign w:val="center"/>
            <w:hideMark/>
          </w:tcPr>
          <w:p w14:paraId="4A34801F"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Fuente</w:t>
            </w:r>
          </w:p>
        </w:tc>
        <w:tc>
          <w:tcPr>
            <w:tcW w:w="0" w:type="auto"/>
            <w:vAlign w:val="center"/>
            <w:hideMark/>
          </w:tcPr>
          <w:p w14:paraId="5B23EF11" w14:textId="77777777" w:rsidR="00150C32" w:rsidRPr="00150C32" w:rsidRDefault="00150C32" w:rsidP="00150C32">
            <w:pPr>
              <w:spacing w:after="0" w:line="240" w:lineRule="auto"/>
              <w:jc w:val="center"/>
              <w:rPr>
                <w:rFonts w:ascii="Times New Roman" w:eastAsia="Times New Roman" w:hAnsi="Times New Roman" w:cs="Times New Roman"/>
                <w:b/>
                <w:bCs/>
                <w:kern w:val="0"/>
                <w:lang w:eastAsia="es-MX"/>
                <w14:ligatures w14:val="none"/>
              </w:rPr>
            </w:pPr>
            <w:r w:rsidRPr="00150C32">
              <w:rPr>
                <w:rFonts w:ascii="Times New Roman" w:eastAsia="Times New Roman" w:hAnsi="Times New Roman" w:cs="Times New Roman"/>
                <w:b/>
                <w:bCs/>
                <w:kern w:val="0"/>
                <w:lang w:eastAsia="es-MX"/>
                <w14:ligatures w14:val="none"/>
              </w:rPr>
              <w:t>Interpretación</w:t>
            </w:r>
          </w:p>
        </w:tc>
      </w:tr>
      <w:tr w:rsidR="00150C32" w:rsidRPr="00150C32" w14:paraId="2EC8509A" w14:textId="77777777">
        <w:trPr>
          <w:tblCellSpacing w:w="15" w:type="dxa"/>
        </w:trPr>
        <w:tc>
          <w:tcPr>
            <w:tcW w:w="0" w:type="auto"/>
            <w:vAlign w:val="center"/>
            <w:hideMark/>
          </w:tcPr>
          <w:p w14:paraId="1FF785B0"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Probabilidad media de evento severo</w:t>
            </w:r>
          </w:p>
        </w:tc>
        <w:tc>
          <w:tcPr>
            <w:tcW w:w="0" w:type="auto"/>
            <w:vAlign w:val="center"/>
            <w:hideMark/>
          </w:tcPr>
          <w:p w14:paraId="75D07BB7"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0,40</w:t>
            </w:r>
          </w:p>
        </w:tc>
        <w:tc>
          <w:tcPr>
            <w:tcW w:w="0" w:type="auto"/>
            <w:vAlign w:val="center"/>
            <w:hideMark/>
          </w:tcPr>
          <w:p w14:paraId="5A26FFF5"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LightGBM evento</w:t>
            </w:r>
          </w:p>
        </w:tc>
        <w:tc>
          <w:tcPr>
            <w:tcW w:w="0" w:type="auto"/>
            <w:vAlign w:val="center"/>
            <w:hideMark/>
          </w:tcPr>
          <w:p w14:paraId="25364A2C"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Riesgo morfológico acumulado</w:t>
            </w:r>
          </w:p>
        </w:tc>
      </w:tr>
      <w:tr w:rsidR="00150C32" w:rsidRPr="00150C32" w14:paraId="2D9D465E" w14:textId="77777777">
        <w:trPr>
          <w:tblCellSpacing w:w="15" w:type="dxa"/>
        </w:trPr>
        <w:tc>
          <w:tcPr>
            <w:tcW w:w="0" w:type="auto"/>
            <w:vAlign w:val="center"/>
            <w:hideMark/>
          </w:tcPr>
          <w:p w14:paraId="55C8FCE2"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Probabilidad de noche moderada/severa</w:t>
            </w:r>
          </w:p>
        </w:tc>
        <w:tc>
          <w:tcPr>
            <w:tcW w:w="0" w:type="auto"/>
            <w:vAlign w:val="center"/>
            <w:hideMark/>
          </w:tcPr>
          <w:p w14:paraId="1A9A5B3F" w14:textId="77777777" w:rsidR="00150C32" w:rsidRPr="00150C32" w:rsidRDefault="00150C32" w:rsidP="00150C32">
            <w:pPr>
              <w:spacing w:after="0" w:line="240" w:lineRule="auto"/>
              <w:jc w:val="right"/>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0,60</w:t>
            </w:r>
          </w:p>
        </w:tc>
        <w:tc>
          <w:tcPr>
            <w:tcW w:w="0" w:type="auto"/>
            <w:vAlign w:val="center"/>
            <w:hideMark/>
          </w:tcPr>
          <w:p w14:paraId="2EAB3E01"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Regresión logística nocturna</w:t>
            </w:r>
          </w:p>
        </w:tc>
        <w:tc>
          <w:tcPr>
            <w:tcW w:w="0" w:type="auto"/>
            <w:vAlign w:val="center"/>
            <w:hideMark/>
          </w:tcPr>
          <w:p w14:paraId="7A767617" w14:textId="77777777" w:rsidR="00150C32" w:rsidRPr="00150C32" w:rsidRDefault="00150C32" w:rsidP="00150C32">
            <w:pPr>
              <w:spacing w:after="0"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Riesgo fisiológico global</w:t>
            </w:r>
          </w:p>
        </w:tc>
      </w:tr>
    </w:tbl>
    <w:p w14:paraId="05A1614A"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score final se expresa en una escala de 0 a 100. Valores bajos indican noches con baja probabilidad de eventos severos y bajo riesgo nocturno global; valores altos indican noches con mayor carga fisiológica, más estados patológicos, mayor acoplamiento y mayor probabilidad de severidad clínica.</w:t>
      </w:r>
    </w:p>
    <w:p w14:paraId="1B1DFEE5"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La ventaja del Risk Score PAC es que no se limita a reproducir un índice clásico. Integra información de eventos, estados, transiciones y contexto. Por ello puede considerarse un índice fisiológico compuesto, orientado a representar vulnerabilidad nocturna más que frecuencia aislada de eventos.</w:t>
      </w:r>
    </w:p>
    <w:p w14:paraId="68C854B5"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b/>
          <w:bCs/>
          <w:kern w:val="0"/>
          <w:lang w:eastAsia="es-MX"/>
          <w14:ligatures w14:val="none"/>
        </w:rPr>
        <w:t>Figura 6.8. Distribución del Risk Score PAC por categoría clínica.</w:t>
      </w:r>
      <w:r w:rsidRPr="00150C32">
        <w:rPr>
          <w:rFonts w:ascii="Times New Roman" w:eastAsia="Times New Roman" w:hAnsi="Times New Roman" w:cs="Times New Roman"/>
          <w:kern w:val="0"/>
          <w:lang w:eastAsia="es-MX"/>
          <w14:ligatures w14:val="none"/>
        </w:rPr>
        <w:br/>
        <w:t>Se propone un boxplot o violin plot del Risk Score según categorías Normal, Leve, Moderado y Severo. La figura debería mostrar un gradiente creciente, pero también superposición parcial, lo cual reflejaría la diferencia entre severidad clásica y vulnerabilidad fisiológica PAC.</w:t>
      </w:r>
    </w:p>
    <w:p w14:paraId="68668276"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6.13. Significado clínico del modelo predictivo PAC</w:t>
      </w:r>
    </w:p>
    <w:p w14:paraId="3FA7D97C"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aporte clínico del capítulo no reside únicamente en los valores de AUC o en el rendimiento de los modelos. Su contribución principal es mostrar que la fisiología nocturna puede representarse como un sistema dinámico predictivo. En lugar de reducir la noche a un conteo final de eventos, PAC permite describir cómo se organiza el riesgo a lo largo del tiempo.</w:t>
      </w:r>
    </w:p>
    <w:p w14:paraId="254F441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Desde esta perspectiva, un paciente puede caracterizarse por varias dimensiones simultáneas: la cantidad de eventos, la proporción de morfotipos severos, la respuesta autonómica relativa, la fracción de tiempo en estados patológicos, la capacidad de recuperación posterior a eventos severos, la trayectoria nocturna global y el riesgo integrado. Esta representación es más rica que cualquier índice aislado.</w:t>
      </w:r>
    </w:p>
    <w:p w14:paraId="6CF4CCBF"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 xml:space="preserve">El modelo también permite reinterpretar la severidad. Una noche no es severa únicamente porque tenga muchos eventos, sino porque esos eventos ocurren dentro de un contexto fisiológico vulnerable, se agrupan en estados patológicos, muestran menor resiliencia posterior y forman parte de una trayectoria de alta carga hipóxica. Esta visión puede ser </w:t>
      </w:r>
      <w:r w:rsidRPr="00150C32">
        <w:rPr>
          <w:rFonts w:ascii="Times New Roman" w:eastAsia="Times New Roman" w:hAnsi="Times New Roman" w:cs="Times New Roman"/>
          <w:kern w:val="0"/>
          <w:lang w:eastAsia="es-MX"/>
          <w14:ligatures w14:val="none"/>
        </w:rPr>
        <w:lastRenderedPageBreak/>
        <w:t>especialmente útil en pacientes con discordancia entre índices clásicos y manifestaciones clínicas.</w:t>
      </w:r>
    </w:p>
    <w:p w14:paraId="065FAEC8"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En términos traslacionales, PAC abre la posibilidad de construir herramientas clínicas que no solo informen cuántos eventos ocurrieron, sino qué tipo de noche tuvo el paciente. Esta diferencia es relevante para monitoreo domiciliario longitudinal, seguimiento terapéutico, priorización de pacientes y eventualmente sistemas de alerta o intervención en tiempo real.</w:t>
      </w:r>
    </w:p>
    <w:p w14:paraId="1FC0D7A5"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6.14. Relación con los capítulos previos</w:t>
      </w:r>
    </w:p>
    <w:p w14:paraId="441D9621"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Capítulo 6 funciona como puente entre la fisiología descriptiva y la aplicación clínica. El Capítulo 4 había demostrado que los eventos de desaturación poseen morfologías distintas y que los morfotipos severos concentran mayor carga fisiológica. El Capítulo 5 había mostrado que la noche se organiza en estados multiescala y que esos estados describen contextos dinámicos recurrentes.</w:t>
      </w:r>
    </w:p>
    <w:p w14:paraId="3E154AE0"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Este capítulo integra ambas ideas. Los eventos no se interpretan de manera aislada, sino dentro de estados fisiológicos. Los estados no se interpretan solo como clusters temporales, sino como contextos que modifican la probabilidad y el impacto de los eventos. La predicción surge precisamente de esa integración.</w:t>
      </w:r>
    </w:p>
    <w:p w14:paraId="51E659E0"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Por ello, el mensaje central del capítulo es que PAC no es solamente un pipeline de procesamiento ni una colección de features. Es un marco de representación fisiológica que permite pasar de señales crudas a objetos clínicamente interpretables: eventos, morfotipos, estados, trayectorias, resiliencia y riesgo.</w:t>
      </w:r>
    </w:p>
    <w:p w14:paraId="0D12D2CD"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6.15. Limitaciones</w:t>
      </w:r>
    </w:p>
    <w:p w14:paraId="262DAF95"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Los resultados de este capítulo deben interpretarse en el contexto de una cohorte pequeña en número de pacientes, aunque con alta densidad longitudinal de noches y eventos. Esta característica tiene ventajas y limitaciones. Por un lado, permite estudiar variabilidad intraindividual y dinámica nocturna con una resolución poco frecuente en estudios convencionales. Por otro lado, limita la generalización poblacional y exige validación externa.</w:t>
      </w:r>
    </w:p>
    <w:p w14:paraId="41B5A7F1"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La validación leave-one-patient-out constituye una estrategia rigurosa para reducir leakage entre pacientes, pero no reemplaza una cohorte independiente. Los modelos podrían estar capturando patrones propios del dispositivo, del protocolo de adquisición o de la población clínica original. Por lo tanto, el rendimiento observado debe considerarse proof-of-concept.</w:t>
      </w:r>
    </w:p>
    <w:p w14:paraId="70F8A6F5"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Otra limitación es la dependencia del pipeline. La calidad del modelo predictivo depende de la detección de eventos, la asignación de morfotipos, la construcción de estados PAC y el control de calidad de señal. Errores en etapas previas pueden propagarse hacia los modelos finales. Esto refuerza la necesidad de mantener trazabilidad, auditoría y validación continua de cada capa.</w:t>
      </w:r>
    </w:p>
    <w:p w14:paraId="0E2A001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lastRenderedPageBreak/>
        <w:t>También debe señalarse que el Risk Score PAC no es todavía una herramienta clínica validada. Su valor actual es exploratorio y fisiológico. Para transformarlo en una herramienta de uso clínico sería necesario evaluar calibración externa, reproducibilidad, asociación con outcomes clínicos y utilidad incremental frente a índices establecidos.</w:t>
      </w:r>
    </w:p>
    <w:p w14:paraId="7C531CCB"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Finalmente, la ausencia de polisomnografía completa limita la interpretación de algunos fenómenos. Sin EEG, no es posible asignar con precisión fases de sueño ni microdespertares corticales. Sin embargo, el enfoque PAC se apoya precisamente en la posibilidad de extraer información fisiológica útil a partir de señales domiciliarias más simples, como SpO₂, frecuencia cardíaca y movimiento.</w:t>
      </w:r>
    </w:p>
    <w:p w14:paraId="1B8483CC" w14:textId="77777777" w:rsidR="00150C32" w:rsidRPr="00150C32" w:rsidRDefault="00150C32" w:rsidP="00150C32">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50C32">
        <w:rPr>
          <w:rFonts w:ascii="Times New Roman" w:eastAsia="Times New Roman" w:hAnsi="Times New Roman" w:cs="Times New Roman"/>
          <w:b/>
          <w:bCs/>
          <w:kern w:val="0"/>
          <w:sz w:val="36"/>
          <w:szCs w:val="36"/>
          <w:lang w:eastAsia="es-MX"/>
          <w14:ligatures w14:val="none"/>
        </w:rPr>
        <w:t>6.16. Conclusión</w:t>
      </w:r>
    </w:p>
    <w:p w14:paraId="45C0D9BD"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Este capítulo demuestra que la representación PAC posee valor predictivo. Los estados fisiológicos multiescala, los morfotipos de eventos, el acoplamiento evento–estado, la dinámica de transición y la resiliencia posterior permiten anticipar severidad a nivel de evento y estratificar riesgo a nivel de noche.</w:t>
      </w:r>
    </w:p>
    <w:p w14:paraId="126DFD15"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El hallazgo más importante es que el contexto dinámico modifica el significado fisiológico del evento. Una desaturación no tiene el mismo valor si ocurre en un estado protector, con recuperación rápida, que si aparece dentro de un bloque patológico persistente. La severidad, por lo tanto, no depende solo de la caída de oxígeno, sino de la arquitectura temporal en la que esa caída se inscribe.</w:t>
      </w:r>
    </w:p>
    <w:p w14:paraId="2092C4CE"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PAC transforma la noche en una trayectoria fisiológica interpretable. Esta trayectoria permite identificar vulnerabilidad, persistencia patológica, resiliencia y riesgo. En consecuencia, el modelo predictivo no constituye un agregado externo al análisis fisiológico, sino la consecuencia natural de la representación desarrollada en los capítulos previos.</w:t>
      </w:r>
    </w:p>
    <w:p w14:paraId="3994D2D3"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En conjunto, el Capítulo 6 consolida el pasaje desde una medicina del conteo de eventos hacia una medicina de la dinámica nocturna. Los índices clásicos siguen siendo necesarios, pero PAC muestra que la información clínicamente relevante no se encuentra solo en cuántos eventos ocurrieron, sino también en cómo se organizaron, en qué contexto aparecieron y qué capacidad de recuperación mostró el organismo frente a ellos.</w:t>
      </w:r>
    </w:p>
    <w:p w14:paraId="1D68C724" w14:textId="77777777" w:rsidR="00150C32" w:rsidRPr="00150C32" w:rsidRDefault="00150C32" w:rsidP="00150C32">
      <w:pPr>
        <w:spacing w:before="100" w:beforeAutospacing="1" w:after="100" w:afterAutospacing="1" w:line="240" w:lineRule="auto"/>
        <w:rPr>
          <w:rFonts w:ascii="Times New Roman" w:eastAsia="Times New Roman" w:hAnsi="Times New Roman" w:cs="Times New Roman"/>
          <w:kern w:val="0"/>
          <w:lang w:eastAsia="es-MX"/>
          <w14:ligatures w14:val="none"/>
        </w:rPr>
      </w:pPr>
      <w:r w:rsidRPr="00150C32">
        <w:rPr>
          <w:rFonts w:ascii="Times New Roman" w:eastAsia="Times New Roman" w:hAnsi="Times New Roman" w:cs="Times New Roman"/>
          <w:kern w:val="0"/>
          <w:lang w:eastAsia="es-MX"/>
          <w14:ligatures w14:val="none"/>
        </w:rPr>
        <w:t>Este capítulo prepara el terreno para los desarrollos posteriores de la tesis, orientados a la aplicación clínica, visualización, prototipo de dashboard e integración del sistema PAC como herramienta de interpretación fisiológica y apoyo a la decisión en monitoreo domiciliario longitudinal.</w:t>
      </w:r>
    </w:p>
    <w:p w14:paraId="2BF301F7" w14:textId="77777777" w:rsidR="00150C32" w:rsidRPr="00150C32" w:rsidRDefault="00150C32" w:rsidP="00150C32"/>
    <w:sectPr w:rsidR="00150C32" w:rsidRPr="00150C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32"/>
    <w:rsid w:val="00150C32"/>
    <w:rsid w:val="00913A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354C"/>
  <w15:chartTrackingRefBased/>
  <w15:docId w15:val="{694B12A6-4AAA-3E4E-82B4-6DE9CA36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0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C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C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C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C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C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C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C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C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50C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0C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0C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C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C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C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C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C32"/>
    <w:rPr>
      <w:rFonts w:eastAsiaTheme="majorEastAsia" w:cstheme="majorBidi"/>
      <w:color w:val="272727" w:themeColor="text1" w:themeTint="D8"/>
    </w:rPr>
  </w:style>
  <w:style w:type="paragraph" w:styleId="Ttulo">
    <w:name w:val="Title"/>
    <w:basedOn w:val="Normal"/>
    <w:next w:val="Normal"/>
    <w:link w:val="TtuloCar"/>
    <w:uiPriority w:val="10"/>
    <w:qFormat/>
    <w:rsid w:val="00150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C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C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C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C32"/>
    <w:pPr>
      <w:spacing w:before="160"/>
      <w:jc w:val="center"/>
    </w:pPr>
    <w:rPr>
      <w:i/>
      <w:iCs/>
      <w:color w:val="404040" w:themeColor="text1" w:themeTint="BF"/>
    </w:rPr>
  </w:style>
  <w:style w:type="character" w:customStyle="1" w:styleId="CitaCar">
    <w:name w:val="Cita Car"/>
    <w:basedOn w:val="Fuentedeprrafopredeter"/>
    <w:link w:val="Cita"/>
    <w:uiPriority w:val="29"/>
    <w:rsid w:val="00150C32"/>
    <w:rPr>
      <w:i/>
      <w:iCs/>
      <w:color w:val="404040" w:themeColor="text1" w:themeTint="BF"/>
    </w:rPr>
  </w:style>
  <w:style w:type="paragraph" w:styleId="Prrafodelista">
    <w:name w:val="List Paragraph"/>
    <w:basedOn w:val="Normal"/>
    <w:uiPriority w:val="34"/>
    <w:qFormat/>
    <w:rsid w:val="00150C32"/>
    <w:pPr>
      <w:ind w:left="720"/>
      <w:contextualSpacing/>
    </w:pPr>
  </w:style>
  <w:style w:type="character" w:styleId="nfasisintenso">
    <w:name w:val="Intense Emphasis"/>
    <w:basedOn w:val="Fuentedeprrafopredeter"/>
    <w:uiPriority w:val="21"/>
    <w:qFormat/>
    <w:rsid w:val="00150C32"/>
    <w:rPr>
      <w:i/>
      <w:iCs/>
      <w:color w:val="0F4761" w:themeColor="accent1" w:themeShade="BF"/>
    </w:rPr>
  </w:style>
  <w:style w:type="paragraph" w:styleId="Citadestacada">
    <w:name w:val="Intense Quote"/>
    <w:basedOn w:val="Normal"/>
    <w:next w:val="Normal"/>
    <w:link w:val="CitadestacadaCar"/>
    <w:uiPriority w:val="30"/>
    <w:qFormat/>
    <w:rsid w:val="00150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C32"/>
    <w:rPr>
      <w:i/>
      <w:iCs/>
      <w:color w:val="0F4761" w:themeColor="accent1" w:themeShade="BF"/>
    </w:rPr>
  </w:style>
  <w:style w:type="character" w:styleId="Referenciaintensa">
    <w:name w:val="Intense Reference"/>
    <w:basedOn w:val="Fuentedeprrafopredeter"/>
    <w:uiPriority w:val="32"/>
    <w:qFormat/>
    <w:rsid w:val="00150C32"/>
    <w:rPr>
      <w:b/>
      <w:bCs/>
      <w:smallCaps/>
      <w:color w:val="0F4761" w:themeColor="accent1" w:themeShade="BF"/>
      <w:spacing w:val="5"/>
    </w:rPr>
  </w:style>
  <w:style w:type="paragraph" w:styleId="NormalWeb">
    <w:name w:val="Normal (Web)"/>
    <w:basedOn w:val="Normal"/>
    <w:uiPriority w:val="99"/>
    <w:semiHidden/>
    <w:unhideWhenUsed/>
    <w:rsid w:val="00150C3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150C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4692</Words>
  <Characters>27872</Characters>
  <Application>Microsoft Office Word</Application>
  <DocSecurity>0</DocSecurity>
  <Lines>580</Lines>
  <Paragraphs>278</Paragraphs>
  <ScaleCrop>false</ScaleCrop>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Inza</dc:creator>
  <cp:keywords/>
  <dc:description/>
  <cp:lastModifiedBy>Roberto Inza</cp:lastModifiedBy>
  <cp:revision>1</cp:revision>
  <dcterms:created xsi:type="dcterms:W3CDTF">2026-05-26T15:11:00Z</dcterms:created>
  <dcterms:modified xsi:type="dcterms:W3CDTF">2026-05-26T15:13:00Z</dcterms:modified>
</cp:coreProperties>
</file>