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46C45" w14:textId="77777777" w:rsidR="00A9687A" w:rsidRPr="00D639C0" w:rsidRDefault="00000000" w:rsidP="00D639C0">
      <w:pPr>
        <w:spacing w:after="80"/>
        <w:rPr>
          <w:color w:val="747474" w:themeColor="background2" w:themeShade="80"/>
          <w:sz w:val="20"/>
          <w:szCs w:val="20"/>
        </w:rPr>
      </w:pPr>
      <w:r>
        <w:rPr>
          <w:b/>
          <w:bCs/>
          <w:color w:val="747474" w:themeColor="background2" w:themeShade="80"/>
          <w:sz w:val="20"/>
          <w:szCs w:val="20"/>
        </w:rPr>
        <w:t>CAPÍTULO 6</w:t>
      </w:r>
    </w:p>
    <w:p w14:paraId="12CA5562" w14:textId="77777777" w:rsidR="00A9687A" w:rsidRPr="00D639C0" w:rsidRDefault="00000000" w:rsidP="00D639C0">
      <w:pPr>
        <w:spacing w:after="80"/>
        <w:rPr>
          <w:color w:val="002060"/>
          <w:sz w:val="36"/>
          <w:szCs w:val="36"/>
        </w:rPr>
      </w:pPr>
      <w:r>
        <w:rPr>
          <w:b/>
          <w:bCs/>
          <w:color w:val="002060"/>
          <w:sz w:val="36"/>
          <w:szCs w:val="36"/>
        </w:rPr>
        <w:t>Modelado Predictivo Basado en PAC: Acoplamiento, Severidad y Riesgo Fisiológico Nocturno</w:t>
      </w:r>
    </w:p>
    <w:p w14:paraId="773A3A8F" w14:textId="77777777" w:rsidR="00A9687A" w:rsidRPr="00D639C0" w:rsidRDefault="00000000" w:rsidP="00D639C0">
      <w:pPr>
        <w:spacing w:after="400"/>
        <w:rPr>
          <w:sz w:val="18"/>
          <w:szCs w:val="18"/>
        </w:rPr>
      </w:pPr>
      <w:r>
        <w:rPr>
          <w:i/>
          <w:iCs/>
          <w:color w:val="666666"/>
          <w:sz w:val="18"/>
          <w:szCs w:val="18"/>
        </w:rPr>
        <w:t>Versión 9  ·  Junio 2026</w:t>
      </w:r>
    </w:p>
    <w:p w14:paraId="7945810D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  <w:color w:val="002060"/>
        </w:rPr>
      </w:pPr>
      <w:r>
        <w:rPr>
          <w:rFonts w:asciiTheme="minorHAnsi" w:hAnsiTheme="minorHAnsi"/>
          <w:color w:val="002060"/>
        </w:rPr>
        <w:t>6.1  Contexto, corpus y diseño analítico</w:t>
      </w:r>
    </w:p>
    <w:p w14:paraId="7A74CA9A" w14:textId="77777777" w:rsidR="00386647" w:rsidRDefault="00386647" w:rsidP="00386647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Este capítulo construye, sobre las representaciones PAC ya desarrolladas, morfotipos y reactividad autonómica (Cap04) y estados dinámicos (Cap05), el arco predictivo del proyecto: desde la cuantificación del acoplamiento entre morfotipos y estados hasta la integración de los modelos en el </w:t>
      </w:r>
      <w:r>
        <w:rPr>
          <w:rFonts w:asciiTheme="minorHAnsi" w:hAnsiTheme="minorHAnsi"/>
          <w:b/>
          <w:bCs/>
        </w:rPr>
        <w:t>Risk Score PAC</w:t>
      </w:r>
      <w:r>
        <w:rPr>
          <w:rFonts w:asciiTheme="minorHAnsi" w:hAnsiTheme="minorHAnsi"/>
        </w:rPr>
        <w:t xml:space="preserve"> (0–100), un índice de caracterización dinámica retrospectiva que condensa la arquitectura fisiológica de una noche en un único valor interpretable. Los grupos de features se organizan en cuatro bloques: morfotipos C1–C5 (</w:t>
      </w:r>
      <w:r>
        <w:rPr>
          <w:rFonts w:asciiTheme="minorHAnsi" w:hAnsiTheme="minorHAnsi"/>
          <w:b/>
          <w:bCs/>
        </w:rPr>
        <w:t>nivel evento</w:t>
      </w:r>
      <w:r>
        <w:rPr>
          <w:rFonts w:asciiTheme="minorHAnsi" w:hAnsiTheme="minorHAnsi"/>
        </w:rPr>
        <w:t>), ARI (</w:t>
      </w:r>
      <w:r>
        <w:rPr>
          <w:rFonts w:asciiTheme="minorHAnsi" w:hAnsiTheme="minorHAnsi"/>
          <w:b/>
          <w:bCs/>
        </w:rPr>
        <w:t>reactividad autonómica</w:t>
      </w:r>
      <w:r>
        <w:rPr>
          <w:rFonts w:asciiTheme="minorHAnsi" w:hAnsiTheme="minorHAnsi"/>
        </w:rPr>
        <w:t>), estados PAC (</w:t>
      </w:r>
      <w:r>
        <w:rPr>
          <w:rFonts w:asciiTheme="minorHAnsi" w:hAnsiTheme="minorHAnsi"/>
          <w:b/>
          <w:bCs/>
        </w:rPr>
        <w:t>fracciones de tiempo por estado en las tres escalas</w:t>
      </w:r>
      <w:r>
        <w:rPr>
          <w:rFonts w:asciiTheme="minorHAnsi" w:hAnsiTheme="minorHAnsi"/>
        </w:rPr>
        <w:t>) y dinámica PAC (</w:t>
      </w:r>
      <w:r>
        <w:rPr>
          <w:rFonts w:asciiTheme="minorHAnsi" w:hAnsiTheme="minorHAnsi"/>
          <w:b/>
          <w:bCs/>
        </w:rPr>
        <w:t>transiciones Markovianas, índices de acoplamiento, resiliencia y entropías</w:t>
      </w:r>
      <w:r>
        <w:rPr>
          <w:rFonts w:asciiTheme="minorHAnsi" w:hAnsiTheme="minorHAnsi"/>
        </w:rPr>
        <w:t xml:space="preserve">). El análisis se organiza en tres bloques: </w:t>
      </w:r>
      <w:r>
        <w:rPr>
          <w:rFonts w:asciiTheme="minorHAnsi" w:hAnsiTheme="minorHAnsi"/>
          <w:b/>
          <w:bCs/>
        </w:rPr>
        <w:t>acoplamiento y dinámica nocturna</w:t>
      </w:r>
      <w:r>
        <w:rPr>
          <w:rFonts w:asciiTheme="minorHAnsi" w:hAnsiTheme="minorHAnsi"/>
        </w:rPr>
        <w:t xml:space="preserve"> (§6.2–6.5), </w:t>
      </w:r>
      <w:r>
        <w:rPr>
          <w:rFonts w:asciiTheme="minorHAnsi" w:hAnsiTheme="minorHAnsi"/>
          <w:b/>
          <w:bCs/>
        </w:rPr>
        <w:t>modelos predictivos validados por LOPO-CV</w:t>
      </w:r>
      <w:r>
        <w:rPr>
          <w:rFonts w:asciiTheme="minorHAnsi" w:hAnsiTheme="minorHAnsi"/>
        </w:rPr>
        <w:t xml:space="preserve"> (§6.6–6.8), y </w:t>
      </w:r>
      <w:r>
        <w:rPr>
          <w:rFonts w:asciiTheme="minorHAnsi" w:hAnsiTheme="minorHAnsi"/>
          <w:b/>
          <w:bCs/>
        </w:rPr>
        <w:t>síntesis en el Risk Score PAC</w:t>
      </w:r>
      <w:r>
        <w:rPr>
          <w:rFonts w:asciiTheme="minorHAnsi" w:hAnsiTheme="minorHAnsi"/>
        </w:rPr>
        <w:t xml:space="preserve"> (§6.9). La Fig. 6.1 ilustra la arquitectura escalonada del modelado y la Tabla 6.1 sintetiza el diseño analítico.</w:t>
      </w:r>
    </w:p>
    <w:p w14:paraId="1BF7B319" w14:textId="77777777" w:rsidR="00CE33FF" w:rsidRDefault="00CE33FF" w:rsidP="00CE33FF">
      <w:pPr>
        <w:spacing w:before="300" w:after="60"/>
      </w:pPr>
      <w:r>
        <w:rPr>
          <w:rFonts w:asciiTheme="minorHAnsi" w:hAnsiTheme="minorHAnsi"/>
          <w:b/>
          <w:bCs/>
          <w:sz w:val="20"/>
          <w:szCs w:val="20"/>
        </w:rPr>
        <w:t>Figura 6.1. Arquitectura escalonada del modelado PAC.</w:t>
      </w:r>
    </w:p>
    <w:p w14:paraId="089E7B82" w14:textId="77777777" w:rsidR="00CE33FF" w:rsidRDefault="00CE33FF" w:rsidP="00CE33FF">
      <w:pPr>
        <w:spacing w:after="80"/>
        <w:jc w:val="center"/>
      </w:pPr>
      <w:r>
        <w:rPr>
          <w:noProof/>
        </w:rPr>
        <w:drawing>
          <wp:inline distT="0" distB="0" distL="0" distR="0" wp14:anchorId="49D8524F" wp14:editId="0ADA78AB">
            <wp:extent cx="5200000" cy="2000000"/>
            <wp:effectExtent l="0" t="0" r="0" b="0"/>
            <wp:docPr id="40" name="cap06_concepto_escalera.png" descr="Figura 6.1. Arquitectura escalonada del modelado PAC." title="Figura 6.1. Arquitectura escalonada del modelado PA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000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163B" w14:textId="7A53F509" w:rsidR="00CE33FF" w:rsidRPr="00CE33FF" w:rsidRDefault="00CE33FF" w:rsidP="00CE33FF">
      <w:pPr>
        <w:spacing w:after="200"/>
        <w:jc w:val="both"/>
      </w:pPr>
      <w:r>
        <w:rPr>
          <w:rFonts w:asciiTheme="minorHAnsi" w:hAnsiTheme="minorHAnsi"/>
          <w:i/>
          <w:iCs/>
          <w:sz w:val="18"/>
          <w:szCs w:val="18"/>
        </w:rPr>
        <w:t>Nota. Cada nivel añade una dimensión analítica que el anterior no capturaba: del evento individual (morfotipo + ARI) al contexto dinámico nocturno (PAC States) y finalmente a la predicción y síntesis en el Risk Score PAC. LOPO-CV: leave-one-patient-out cross-validation.</w:t>
      </w:r>
    </w:p>
    <w:p w14:paraId="6D8D71F3" w14:textId="77777777" w:rsidR="00386647" w:rsidRPr="00386647" w:rsidRDefault="00386647" w:rsidP="00386647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Dado el carácter observacional del estudio y el tamaño reducido de la cohorte, los resultados de este capítulo deben interpretarse como generadores de hipótesis, no como validación clínica, y los índices construidos ad hoc (Coupling Index, Risk Score PAC) como propuestas metodológicas cuya robustez requiere confirmación en cohortes independientes.</w:t>
      </w:r>
    </w:p>
    <w:p w14:paraId="665968CB" w14:textId="77777777" w:rsidR="00A9687A" w:rsidRPr="00D639C0" w:rsidRDefault="00000000" w:rsidP="00D639C0">
      <w:pPr>
        <w:spacing w:before="200" w:after="60" w:line="360" w:lineRule="auto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t>Tabla 6.1. Resumen del diseño predictivo del Capítulo 6.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1200"/>
        <w:gridCol w:w="1700"/>
        <w:gridCol w:w="1600"/>
      </w:tblGrid>
      <w:tr w:rsidR="00A9687A" w:rsidRPr="00D639C0" w14:paraId="7F0DC7E3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614C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Nivel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7F8BF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Tarea predictiva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EAB2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NB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8C2FF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Modelo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D839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Cohorte</w:t>
            </w:r>
          </w:p>
        </w:tc>
      </w:tr>
      <w:tr w:rsidR="00A9687A" w:rsidRPr="00D639C0" w14:paraId="7FD6E1D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A4AB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Evento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16D67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Clasificación evento severo C4/C5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EEC3A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NB07-B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91E73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LightGBM vs. LR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1F02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8 pac., 76.053 ev.</w:t>
            </w:r>
          </w:p>
        </w:tc>
      </w:tr>
      <w:tr w:rsidR="00A9687A" w:rsidRPr="00D639C0" w14:paraId="1EA4A49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378BB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Noche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B869C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Clasificación binaria Normal+Leve vs. Mod.+Sev.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7DF11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NB07-C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58B8E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LR vs. RF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7B48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8 pac., 540 noches</w:t>
            </w:r>
          </w:p>
        </w:tc>
      </w:tr>
      <w:tr w:rsidR="00A9687A" w:rsidRPr="00D639C0" w14:paraId="70FB00BC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BD62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Noche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37C1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Clasificación multiclase AASM — ablación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B9993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NB06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F90D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Random Forest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46C4A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8 pac., 540 noches</w:t>
            </w:r>
          </w:p>
        </w:tc>
      </w:tr>
      <w:tr w:rsidR="00A9687A" w:rsidRPr="00D639C0" w14:paraId="3ED9F30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832CB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Integración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17163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Risk Score nocturno 0–100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79C1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NB07-D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AD50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Combinación pond.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B1E6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Cohorte estricta</w:t>
            </w:r>
          </w:p>
        </w:tc>
      </w:tr>
    </w:tbl>
    <w:p w14:paraId="4A4CB0A0" w14:textId="77777777" w:rsidR="00A9687A" w:rsidRPr="00D639C0" w:rsidRDefault="00000000" w:rsidP="00AF13E8">
      <w:pPr>
        <w:spacing w:before="240" w:after="100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>Nota. LOPO-CV: leave-one-patient-out cross-validation; n efectivo = 8 pacientes. El análisis de acoplamiento opera sobre la cohorte completa (12 pac., 83.892 eventos). Los modelos predictivos operan sobre la cohorte estricta (8 pac., 540 noches).</w:t>
      </w:r>
    </w:p>
    <w:p w14:paraId="7B20D199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6.2  Acoplamiento morfotipo–estado PAC</w:t>
      </w:r>
    </w:p>
    <w:p w14:paraId="3515D4DE" w14:textId="77777777" w:rsidR="00CC4DA3" w:rsidRPr="00CC4DA3" w:rsidRDefault="00CC4DA3" w:rsidP="00CC4DA3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El análisis de acoplamiento entre morfotipos y estados cruza la distribución de morfotipos (C1–C5) con los estados PAC simultáneos en las tres escalas cuantificando la asociación mediante V de Cramér sobre </w:t>
      </w:r>
      <w:r>
        <w:rPr>
          <w:rFonts w:asciiTheme="minorHAnsi" w:hAnsiTheme="minorHAnsi"/>
          <w:i/>
          <w:iCs/>
        </w:rPr>
        <w:t>P(morfotipo | estado)</w:t>
      </w:r>
      <w:r>
        <w:rPr>
          <w:rFonts w:asciiTheme="minorHAnsi" w:hAnsiTheme="minorHAnsi"/>
        </w:rPr>
        <w:t xml:space="preserve">. Los resultados confirman que la asociación es real en las tres escalas y que decrece sistemáticamente al ampliar la ventana temporal: </w:t>
      </w:r>
      <w:r>
        <w:rPr>
          <w:rFonts w:asciiTheme="minorHAnsi" w:hAnsiTheme="minorHAnsi"/>
          <w:i/>
          <w:iCs/>
        </w:rPr>
        <w:t>V = 0,355 (S), V = 0,229 (M) y V = 0,194 (L)</w:t>
      </w:r>
      <w:r>
        <w:rPr>
          <w:rFonts w:asciiTheme="minorHAnsi" w:hAnsiTheme="minorHAnsi"/>
        </w:rPr>
        <w:t>, sobre 83.892 eventos. Las letras del vocabulario nocturno llevan carga fisiológica, no son etiquetas arbitrarias; pero esa carga disminuye al pasar de microdinámica a arquitectura global. El riesgo relativo (</w:t>
      </w:r>
      <w:r>
        <w:rPr>
          <w:rFonts w:asciiTheme="minorHAnsi" w:hAnsiTheme="minorHAnsi"/>
          <w:b/>
          <w:bCs/>
        </w:rPr>
        <w:t>RR</w:t>
      </w:r>
      <w:r>
        <w:rPr>
          <w:rFonts w:asciiTheme="minorHAnsi" w:hAnsiTheme="minorHAnsi"/>
        </w:rPr>
        <w:t xml:space="preserve">) de evento severo cuantifica la magnitud de esta asociación: tomando como referencia la prevalencia </w:t>
      </w:r>
      <w:r>
        <w:rPr>
          <w:rFonts w:asciiTheme="minorHAnsi" w:hAnsiTheme="minorHAnsi"/>
        </w:rPr>
        <w:lastRenderedPageBreak/>
        <w:t>global de morfotipos severos en el corpus (5,97 %), ciertos estados la elevan hasta 4–5 veces, mientras que otros la reducen por debajo del 2 % (Tabla 6.2).</w:t>
      </w:r>
    </w:p>
    <w:p w14:paraId="21940CE9" w14:textId="77777777" w:rsidR="00A9687A" w:rsidRPr="00D639C0" w:rsidRDefault="00000000" w:rsidP="00D639C0">
      <w:pPr>
        <w:spacing w:before="200" w:after="60" w:line="360" w:lineRule="auto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t>Tabla 6.2. Riesgo relativo de evento severo según estado PAC patológico (83.892 eventos).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1900"/>
        <w:gridCol w:w="2000"/>
        <w:gridCol w:w="1800"/>
      </w:tblGrid>
      <w:tr w:rsidR="00A9687A" w:rsidRPr="00D639C0" w14:paraId="5EE8C9F8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00C54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Escala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5C98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Estado de mayor riesgo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055A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P(severo) marginal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2777A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P(severo | estado)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E69AB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RR</w:t>
            </w:r>
          </w:p>
        </w:tc>
      </w:tr>
      <w:tr w:rsidR="00A9687A" w:rsidRPr="00D639C0" w14:paraId="506D89E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90AE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 (30 s)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3472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S6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CC4AF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5,97 %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2458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28,1 %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2A26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4,70×</w:t>
            </w:r>
          </w:p>
        </w:tc>
      </w:tr>
      <w:tr w:rsidR="00A9687A" w:rsidRPr="00D639C0" w14:paraId="11DDB03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07B8D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M (5 min)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083C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M1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C1B91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5,97 %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A854E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19,6 %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8F64D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3,29×</w:t>
            </w:r>
          </w:p>
        </w:tc>
      </w:tr>
      <w:tr w:rsidR="00A9687A" w:rsidRPr="00D639C0" w14:paraId="2C317F7D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D98A1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 (30 min)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514E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EE503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5,97 %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4914B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11,8 %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6F3BD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1,98×</w:t>
            </w:r>
          </w:p>
        </w:tc>
      </w:tr>
    </w:tbl>
    <w:p w14:paraId="01F4B27C" w14:textId="77777777" w:rsidR="00A9687A" w:rsidRPr="00D639C0" w:rsidRDefault="00000000" w:rsidP="00D639C0">
      <w:pPr>
        <w:spacing w:after="1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>Nota. RR = P(severo | estado) / P(severo) marginal. P(severo) marginal = 5,97 % (5.011 eventos C4+C5 / 83.892 totales).</w:t>
      </w:r>
    </w:p>
    <w:p w14:paraId="236FEAE2" w14:textId="77777777" w:rsidR="00A9687A" w:rsidRPr="00D639C0" w:rsidRDefault="00000000" w:rsidP="00D639C0">
      <w:pPr>
        <w:spacing w:before="80" w:after="160" w:line="360" w:lineRule="auto"/>
        <w:rPr>
          <w:rFonts w:asciiTheme="minorHAnsi" w:hAnsiTheme="minorHAnsi"/>
        </w:rPr>
      </w:pPr>
      <w:r>
        <w:rPr>
          <w:rFonts w:ascii="Segoe UI Symbol" w:hAnsi="Segoe UI Symbol" w:cs="Segoe UI Symbol"/>
          <w:i/>
          <w:iCs/>
          <w:color w:val="555555"/>
          <w:sz w:val="20"/>
          <w:szCs w:val="20"/>
        </w:rPr>
        <w:t>▸</w:t>
      </w:r>
      <w:r>
        <w:rPr>
          <w:rFonts w:asciiTheme="minorHAnsi" w:hAnsiTheme="minorHAnsi"/>
          <w:i/>
          <w:iCs/>
          <w:color w:val="555555"/>
          <w:sz w:val="20"/>
          <w:szCs w:val="20"/>
        </w:rPr>
        <w:t xml:space="preserve"> Figuras complementarias en Anexo: Fig. 6.2 (distribución condicional P(morfotipo|estado)), Fig. 6.3 (riesgo relativo por estado), Fig. 6.3c (acoplamiento morfotipo–estado, esquema conceptual).</w:t>
      </w:r>
    </w:p>
    <w:p w14:paraId="17929D8C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6.3  Coupling Index</w:t>
      </w:r>
    </w:p>
    <w:p w14:paraId="6EB2CC3D" w14:textId="77777777" w:rsidR="002F607E" w:rsidRPr="002F607E" w:rsidRDefault="002F607E" w:rsidP="002F607E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El coupling index (</w:t>
      </w:r>
      <w:r>
        <w:rPr>
          <w:rFonts w:asciiTheme="minorHAnsi" w:hAnsiTheme="minorHAnsi"/>
          <w:b/>
          <w:bCs/>
        </w:rPr>
        <w:t>CI</w:t>
      </w:r>
      <w:r>
        <w:rPr>
          <w:rFonts w:asciiTheme="minorHAnsi" w:hAnsiTheme="minorHAnsi"/>
        </w:rPr>
        <w:t>) es la fracción de eventos severos de cada noche que ocurrió dentro de un estado patológico, calculado en las tres escalas (</w:t>
      </w:r>
      <w:r>
        <w:rPr>
          <w:rFonts w:asciiTheme="minorHAnsi" w:hAnsiTheme="minorHAnsi"/>
          <w:i/>
          <w:iCs/>
        </w:rPr>
        <w:t>ci_s, ci_m, ci_l</w:t>
      </w:r>
      <w:r>
        <w:rPr>
          <w:rFonts w:asciiTheme="minorHAnsi" w:hAnsiTheme="minorHAnsi"/>
        </w:rPr>
        <w:t xml:space="preserve">). A diferencia de la fracción de eventos severos, que solo cuenta cuántos ocurrieron, </w:t>
      </w:r>
      <w:r>
        <w:rPr>
          <w:rFonts w:asciiTheme="minorHAnsi" w:hAnsiTheme="minorHAnsi"/>
          <w:b/>
          <w:bCs/>
        </w:rPr>
        <w:t>el CI pregunta en qué contexto dinámico ocurrieron</w:t>
      </w:r>
      <w:r>
        <w:rPr>
          <w:rFonts w:asciiTheme="minorHAnsi" w:hAnsiTheme="minorHAnsi"/>
        </w:rPr>
        <w:t>: no es lo mismo que todos los eventos severos de una noche sucedan cuando el sistema está en estado de alta carga que cuando ocurren dispersos en estados de baja carga.</w:t>
      </w:r>
    </w:p>
    <w:p w14:paraId="5C522BD5" w14:textId="77777777" w:rsidR="002F607E" w:rsidRPr="002F607E" w:rsidRDefault="002F607E" w:rsidP="002F607E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El hallazgo más relevante es que </w:t>
      </w:r>
      <w:r>
        <w:rPr>
          <w:rFonts w:asciiTheme="minorHAnsi" w:hAnsiTheme="minorHAnsi"/>
          <w:i/>
          <w:iCs/>
        </w:rPr>
        <w:t>ci_s</w:t>
      </w:r>
      <w:r>
        <w:rPr>
          <w:rFonts w:asciiTheme="minorHAnsi" w:hAnsiTheme="minorHAnsi"/>
        </w:rPr>
        <w:t xml:space="preserve"> y </w:t>
      </w:r>
      <w:r>
        <w:rPr>
          <w:rFonts w:asciiTheme="minorHAnsi" w:hAnsiTheme="minorHAnsi"/>
          <w:i/>
          <w:iCs/>
        </w:rPr>
        <w:t>ci_m</w:t>
      </w:r>
      <w:r>
        <w:rPr>
          <w:rFonts w:asciiTheme="minorHAnsi" w:hAnsiTheme="minorHAnsi"/>
        </w:rPr>
        <w:t xml:space="preserve"> son prácticamente independientes: no se observa correlación lineal entre ellos  (</w:t>
      </w:r>
      <w:r>
        <w:rPr>
          <w:rFonts w:asciiTheme="minorHAnsi" w:hAnsiTheme="minorHAnsi"/>
          <w:i/>
          <w:iCs/>
        </w:rPr>
        <w:t>r = 0,066</w:t>
      </w:r>
      <w:r>
        <w:rPr>
          <w:rFonts w:asciiTheme="minorHAnsi" w:hAnsiTheme="minorHAnsi"/>
        </w:rPr>
        <w:t xml:space="preserve">). Que en una noche los eventos severos se concentren en estados patológicos de 30 s no garantiza que esos mismos momentos sean también patológicos vistos desde una ventana de 5 minutos; las dos escalas recortan el tiempo de forma distinta y capturan dimensiones distintas del contexto fisiológico. La correlación moderada entre </w:t>
      </w:r>
      <w:r>
        <w:rPr>
          <w:rFonts w:asciiTheme="minorHAnsi" w:hAnsiTheme="minorHAnsi"/>
          <w:b/>
          <w:bCs/>
        </w:rPr>
        <w:t>ci_m</w:t>
      </w:r>
      <w:r>
        <w:rPr>
          <w:rFonts w:asciiTheme="minorHAnsi" w:hAnsiTheme="minorHAnsi"/>
        </w:rPr>
        <w:t xml:space="preserve"> y </w:t>
      </w:r>
      <w:r>
        <w:rPr>
          <w:rFonts w:asciiTheme="minorHAnsi" w:hAnsiTheme="minorHAnsi"/>
          <w:b/>
          <w:bCs/>
        </w:rPr>
        <w:t>ci_l</w:t>
      </w:r>
      <w:r>
        <w:rPr>
          <w:rFonts w:asciiTheme="minorHAnsi" w:hAnsiTheme="minorHAnsi"/>
        </w:rPr>
        <w:t xml:space="preserve"> (</w:t>
      </w:r>
      <w:r>
        <w:rPr>
          <w:rFonts w:asciiTheme="minorHAnsi" w:hAnsiTheme="minorHAnsi"/>
          <w:i/>
          <w:iCs/>
        </w:rPr>
        <w:t>r = 0,291</w:t>
      </w:r>
      <w:r>
        <w:rPr>
          <w:rFonts w:asciiTheme="minorHAnsi" w:hAnsiTheme="minorHAnsi"/>
        </w:rPr>
        <w:t xml:space="preserve">) tiene sentido: 5 min y 30 min comparten más contexto temporal que 30 s y 5 min, y por eso se mueven algo más juntas. En conjunto, la baja correlación entre escalas justifica el </w:t>
      </w:r>
      <w:r>
        <w:rPr>
          <w:rFonts w:asciiTheme="minorHAnsi" w:hAnsiTheme="minorHAnsi"/>
        </w:rPr>
        <w:lastRenderedPageBreak/>
        <w:t>uso combinado de las tres métricas en los modelos predictivos sin riesgo de multicolinealidad.</w:t>
      </w:r>
    </w:p>
    <w:p w14:paraId="576864F7" w14:textId="77777777" w:rsidR="00A9687A" w:rsidRPr="00D639C0" w:rsidRDefault="00000000" w:rsidP="00D639C0">
      <w:pPr>
        <w:spacing w:before="200" w:after="60" w:line="360" w:lineRule="auto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t>Tabla 6.3. Definición operativa del Coupling Index por escala temporal.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200"/>
        <w:gridCol w:w="1800"/>
        <w:gridCol w:w="2100"/>
        <w:gridCol w:w="2500"/>
      </w:tblGrid>
      <w:tr w:rsidR="00A9687A" w:rsidRPr="00D639C0" w14:paraId="065CB322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648B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Escala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0B7C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Ventana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612B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Estados patológicos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9121C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Correlación cruzada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879FD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Interpretación fisiológica</w:t>
            </w:r>
          </w:p>
        </w:tc>
      </w:tr>
      <w:tr w:rsidR="00A9687A" w:rsidRPr="00D639C0" w14:paraId="0DA8C76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0D91F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 (30 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655D4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30 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7582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S2, S4, S6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D4AC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—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A64C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Acoplamiento en microdinámica evento a evento</w:t>
            </w:r>
          </w:p>
        </w:tc>
      </w:tr>
      <w:tr w:rsidR="00A9687A" w:rsidRPr="00D639C0" w14:paraId="0A2FEEF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6EBED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M (5 min)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5A257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5 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1A2C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M1, M3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E3E2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r(ci_s, ci_m) = 0,066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24B4F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Acoplamiento en regulación intermedia</w:t>
            </w:r>
          </w:p>
        </w:tc>
      </w:tr>
      <w:tr w:rsidR="00A9687A" w:rsidRPr="00D639C0" w14:paraId="3279DBB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E53D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 (30 min)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3331A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30 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C37C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L0, L1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3894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r(ci_m, ci_l) = 0,291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6626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Acoplamiento en arquitectura nocturna global</w:t>
            </w:r>
          </w:p>
        </w:tc>
      </w:tr>
    </w:tbl>
    <w:p w14:paraId="07EDD9B7" w14:textId="77777777" w:rsidR="00A9687A" w:rsidRPr="00D639C0" w:rsidRDefault="00000000" w:rsidP="00D639C0">
      <w:pPr>
        <w:spacing w:after="1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>Nota. Estados patológicos definidos como los estados cuya tasa de eventos C4+C5 supera la mediana del corpus.</w:t>
      </w:r>
    </w:p>
    <w:p w14:paraId="4AC5EEBD" w14:textId="77777777" w:rsidR="00A9687A" w:rsidRPr="00D639C0" w:rsidRDefault="00000000" w:rsidP="00D639C0">
      <w:pPr>
        <w:spacing w:before="80" w:after="160" w:line="360" w:lineRule="auto"/>
        <w:rPr>
          <w:rFonts w:asciiTheme="minorHAnsi" w:hAnsiTheme="minorHAnsi"/>
        </w:rPr>
      </w:pPr>
      <w:r>
        <w:rPr>
          <w:rFonts w:ascii="Segoe UI Symbol" w:hAnsi="Segoe UI Symbol" w:cs="Segoe UI Symbol"/>
          <w:i/>
          <w:iCs/>
          <w:color w:val="555555"/>
          <w:sz w:val="20"/>
          <w:szCs w:val="20"/>
        </w:rPr>
        <w:t>▸</w:t>
      </w:r>
      <w:r>
        <w:rPr>
          <w:rFonts w:asciiTheme="minorHAnsi" w:hAnsiTheme="minorHAnsi"/>
          <w:i/>
          <w:iCs/>
          <w:color w:val="555555"/>
          <w:sz w:val="20"/>
          <w:szCs w:val="20"/>
        </w:rPr>
        <w:t xml:space="preserve"> Figuras complementarias en Anexo: Fig. 6.4 (coupling index por escala), Fig. 6.5c (dos noches con ODI3 idéntico y CI opuesto).</w:t>
      </w:r>
    </w:p>
    <w:p w14:paraId="26649769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6.4  Resiliencia fisiológica y dinámica Markoviana</w:t>
      </w:r>
    </w:p>
    <w:p w14:paraId="7C116D4F" w14:textId="77777777" w:rsidR="00CB29B7" w:rsidRDefault="00876E61" w:rsidP="00D639C0">
      <w:pPr>
        <w:spacing w:after="200" w:line="360" w:lineRule="auto"/>
        <w:jc w:val="both"/>
      </w:pPr>
      <w:r>
        <w:rPr>
          <w:rFonts w:asciiTheme="minorHAnsi" w:hAnsiTheme="minorHAnsi"/>
        </w:rPr>
        <w:t xml:space="preserve">El análisis de la dinámica temporal posterior a eventos severos (Fig. 6.5, Anexo Suplementario) revela que el sistema fisiológico se recupera con distinta velocidad según la escala con que se observe, esto es lo que se denomina </w:t>
      </w:r>
      <w:r>
        <w:rPr>
          <w:rFonts w:asciiTheme="minorHAnsi" w:hAnsiTheme="minorHAnsi"/>
          <w:i/>
          <w:iCs/>
        </w:rPr>
        <w:t>resiliencia</w:t>
      </w:r>
      <w:r>
        <w:rPr>
          <w:rFonts w:asciiTheme="minorHAnsi" w:hAnsiTheme="minorHAnsi"/>
        </w:rPr>
        <w:t xml:space="preserve">: en la </w:t>
      </w:r>
      <w:r>
        <w:rPr>
          <w:rFonts w:asciiTheme="minorHAnsi" w:hAnsiTheme="minorHAnsi"/>
          <w:b/>
          <w:bCs/>
        </w:rPr>
        <w:t>escala S</w:t>
      </w:r>
      <w:r>
        <w:rPr>
          <w:rFonts w:asciiTheme="minorHAnsi" w:hAnsiTheme="minorHAnsi"/>
        </w:rPr>
        <w:t xml:space="preserve"> (30 s) muestra alta resiliencia, retornando rápidamente a un estado no patológico; en la </w:t>
      </w:r>
      <w:r>
        <w:rPr>
          <w:rFonts w:asciiTheme="minorHAnsi" w:hAnsiTheme="minorHAnsi"/>
          <w:b/>
          <w:bCs/>
        </w:rPr>
        <w:t>escala M</w:t>
      </w:r>
      <w:r>
        <w:rPr>
          <w:rFonts w:asciiTheme="minorHAnsi" w:hAnsiTheme="minorHAnsi"/>
        </w:rPr>
        <w:t xml:space="preserve"> (5 min) la recuperación es más lenta; y en la </w:t>
      </w:r>
      <w:r>
        <w:rPr>
          <w:rFonts w:asciiTheme="minorHAnsi" w:hAnsiTheme="minorHAnsi"/>
          <w:b/>
          <w:bCs/>
        </w:rPr>
        <w:t>escala L</w:t>
      </w:r>
      <w:r>
        <w:rPr>
          <w:rFonts w:asciiTheme="minorHAnsi" w:hAnsiTheme="minorHAnsi"/>
        </w:rPr>
        <w:t xml:space="preserve"> (30 min) predomina la persistencia; el sistema tiende a permanecer en el estado patológico dentro de la misma ventana. Cuanto más amplia es la lente temporal, menor es la resiliencia observada (Tabla 6.4).</w:t>
      </w:r>
      <w:r>
        <w:t xml:space="preserve"> </w:t>
      </w:r>
    </w:p>
    <w:p w14:paraId="439B6B8E" w14:textId="77777777" w:rsidR="00CD7DAA" w:rsidRPr="00D639C0" w:rsidRDefault="00CD7DAA" w:rsidP="00CD7DAA">
      <w:pPr>
        <w:spacing w:before="200" w:after="60" w:line="360" w:lineRule="auto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t>Tabla 6.4. Resiliencia fisiológica posterior a eventos severos en estados patológicos.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3"/>
        <w:gridCol w:w="1024"/>
        <w:gridCol w:w="2196"/>
        <w:gridCol w:w="2196"/>
        <w:gridCol w:w="2196"/>
      </w:tblGrid>
      <w:tr w:rsidR="00CA34F0" w:rsidRPr="00D639C0" w14:paraId="2DA25FD4" w14:textId="77777777" w:rsidTr="00CA34F0">
        <w:trPr>
          <w:tblHeader/>
        </w:trPr>
        <w:tc>
          <w:tcPr>
            <w:tcW w:w="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A0A2B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lastRenderedPageBreak/>
              <w:t>Escala</w:t>
            </w:r>
          </w:p>
        </w:tc>
        <w:tc>
          <w:tcPr>
            <w:tcW w:w="58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4D675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Ventana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4213E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Resiliente (retorno a estado protector)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C2016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Colapsado (persiste en estado patológico)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FE7E0A7" w14:textId="77777777" w:rsidR="00CA34F0" w:rsidRPr="00D639C0" w:rsidRDefault="00CA34F0" w:rsidP="00CA34F0">
            <w:pPr>
              <w:spacing w:line="360" w:lineRule="auto"/>
              <w:jc w:val="center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Intermedio / sin dato</w:t>
            </w:r>
          </w:p>
        </w:tc>
      </w:tr>
      <w:tr w:rsidR="00CA34F0" w:rsidRPr="00D639C0" w14:paraId="50E6F869" w14:textId="77777777" w:rsidTr="00CA34F0">
        <w:tc>
          <w:tcPr>
            <w:tcW w:w="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316EA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 (30 s)</w:t>
            </w:r>
          </w:p>
        </w:tc>
        <w:tc>
          <w:tcPr>
            <w:tcW w:w="58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2F31D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30 s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56CCA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43,3 %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B3F47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40,2 %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E73B9E" w14:textId="77777777" w:rsidR="00CA34F0" w:rsidRPr="00D639C0" w:rsidRDefault="00CA34F0" w:rsidP="0042185E">
            <w:pPr>
              <w:spacing w:line="360" w:lineRule="auto"/>
              <w:ind w:left="65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 16,5 %</w:t>
            </w:r>
          </w:p>
        </w:tc>
      </w:tr>
      <w:tr w:rsidR="00CA34F0" w:rsidRPr="00D639C0" w14:paraId="7A9E454F" w14:textId="77777777" w:rsidTr="00CA34F0">
        <w:tc>
          <w:tcPr>
            <w:tcW w:w="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4BB8C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M (5 min)</w:t>
            </w:r>
          </w:p>
        </w:tc>
        <w:tc>
          <w:tcPr>
            <w:tcW w:w="58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BB6D0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5 min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111F1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12,3 %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A3638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80,4 %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2F034B" w14:textId="77777777" w:rsidR="00CA34F0" w:rsidRPr="00D639C0" w:rsidRDefault="00CA34F0" w:rsidP="0042185E">
            <w:pPr>
              <w:spacing w:line="360" w:lineRule="auto"/>
              <w:ind w:left="65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  7,3%</w:t>
            </w:r>
          </w:p>
        </w:tc>
      </w:tr>
      <w:tr w:rsidR="00CA34F0" w:rsidRPr="00D639C0" w14:paraId="2F461847" w14:textId="77777777" w:rsidTr="00CA34F0">
        <w:tc>
          <w:tcPr>
            <w:tcW w:w="667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5EB93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 (30 min)</w:t>
            </w:r>
          </w:p>
        </w:tc>
        <w:tc>
          <w:tcPr>
            <w:tcW w:w="583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B3441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30 min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070E3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1,3 %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7950C" w14:textId="77777777" w:rsidR="00CA34F0" w:rsidRPr="00D639C0" w:rsidRDefault="00CA34F0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74,5 %</w:t>
            </w:r>
          </w:p>
        </w:tc>
        <w:tc>
          <w:tcPr>
            <w:tcW w:w="1250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6DCC5F" w14:textId="77777777" w:rsidR="00CA34F0" w:rsidRPr="00D639C0" w:rsidRDefault="00CA34F0" w:rsidP="0042185E">
            <w:pPr>
              <w:spacing w:line="360" w:lineRule="auto"/>
              <w:ind w:left="65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 24.2 %</w:t>
            </w:r>
          </w:p>
        </w:tc>
      </w:tr>
    </w:tbl>
    <w:p w14:paraId="2F1E2560" w14:textId="77777777" w:rsidR="00CD7DAA" w:rsidRPr="00D639C0" w:rsidRDefault="00CD7DAA" w:rsidP="00CD7DAA">
      <w:pPr>
        <w:spacing w:after="1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 xml:space="preserve">Nota. Resiliente = siguiente ventana en estado protector. Colapsado = siguiente ventana en estado patológico. Diferencia al 100 %: estados intermedios o último evento de la noche. </w:t>
      </w:r>
    </w:p>
    <w:p w14:paraId="328C9597" w14:textId="77777777" w:rsidR="00CD7DAA" w:rsidRPr="00CD7DAA" w:rsidRDefault="00CD7DAA" w:rsidP="00CD7DAA">
      <w:pPr>
        <w:spacing w:before="80" w:after="160" w:line="360" w:lineRule="auto"/>
        <w:rPr>
          <w:rFonts w:asciiTheme="minorHAnsi" w:hAnsiTheme="minorHAnsi"/>
        </w:rPr>
      </w:pPr>
      <w:r>
        <w:rPr>
          <w:rFonts w:ascii="Segoe UI Symbol" w:hAnsi="Segoe UI Symbol" w:cs="Segoe UI Symbol"/>
          <w:i/>
          <w:iCs/>
          <w:color w:val="555555"/>
          <w:sz w:val="20"/>
          <w:szCs w:val="20"/>
        </w:rPr>
        <w:t>▸</w:t>
      </w:r>
      <w:r>
        <w:rPr>
          <w:rFonts w:asciiTheme="minorHAnsi" w:hAnsiTheme="minorHAnsi"/>
          <w:i/>
          <w:iCs/>
          <w:color w:val="555555"/>
          <w:sz w:val="20"/>
          <w:szCs w:val="20"/>
        </w:rPr>
        <w:t xml:space="preserve"> Figura complementaria en Anexo: Fig. 6.6 (matrices de transición Markovianas por escala), Fig. 6.6c (dinámica peri-evento, esquema conceptual).</w:t>
      </w:r>
    </w:p>
    <w:p w14:paraId="565380CB" w14:textId="77777777" w:rsidR="007B0DF7" w:rsidRPr="007B0DF7" w:rsidRDefault="007B0DF7" w:rsidP="007B0DF7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Para entender estos números hay que imaginar qué ocurre después de cada evento severo. En la </w:t>
      </w:r>
      <w:r>
        <w:rPr>
          <w:rFonts w:asciiTheme="minorHAnsi" w:hAnsiTheme="minorHAnsi"/>
          <w:b/>
          <w:bCs/>
        </w:rPr>
        <w:t>escala S</w:t>
      </w:r>
      <w:r>
        <w:rPr>
          <w:rFonts w:asciiTheme="minorHAnsi" w:hAnsiTheme="minorHAnsi"/>
        </w:rPr>
        <w:t xml:space="preserve"> (mirando ventanas de 30 segundos) el sistema se recupera: en el 43,3 % de los casos, el estado patológico activo en el momento del evento severo es seguido por un estado protector. Es como un golpe que el organismo absorbe y de cuya tensión se recupera en segundos.</w:t>
      </w:r>
    </w:p>
    <w:p w14:paraId="5C80DBC3" w14:textId="77777777" w:rsidR="007B0DF7" w:rsidRPr="007B0DF7" w:rsidRDefault="007B0DF7" w:rsidP="007B0DF7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En la </w:t>
      </w:r>
      <w:r>
        <w:rPr>
          <w:rFonts w:asciiTheme="minorHAnsi" w:hAnsiTheme="minorHAnsi"/>
          <w:b/>
          <w:bCs/>
        </w:rPr>
        <w:t>escala M</w:t>
      </w:r>
      <w:r>
        <w:rPr>
          <w:rFonts w:asciiTheme="minorHAnsi" w:hAnsiTheme="minorHAnsi"/>
        </w:rPr>
        <w:t xml:space="preserve"> la historia cambia: solo el 12,3 % de esos eventos severos ocurre en un bloque de 5 minutos que luego transita hacia un estado protector. La mayor parte de las veces, el sistema queda en zona de riesgo; y en la </w:t>
      </w:r>
      <w:r>
        <w:rPr>
          <w:rFonts w:asciiTheme="minorHAnsi" w:hAnsiTheme="minorHAnsi"/>
          <w:b/>
          <w:bCs/>
        </w:rPr>
        <w:t>escala L</w:t>
      </w:r>
      <w:r>
        <w:rPr>
          <w:rFonts w:asciiTheme="minorHAnsi" w:hAnsiTheme="minorHAnsi"/>
        </w:rPr>
        <w:t xml:space="preserve"> (mirando la arquitectura de la noche en bloques de 30 minutos) la recuperación es prácticamente inexistente: apenas el 1,3 %.</w:t>
      </w:r>
    </w:p>
    <w:p w14:paraId="567BB6E2" w14:textId="77777777" w:rsidR="007B0DF7" w:rsidRDefault="007B0DF7" w:rsidP="007B0DF7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¿Por qué ocurre esto? La dinámica Markoviana de la </w:t>
      </w:r>
      <w:r>
        <w:rPr>
          <w:rFonts w:asciiTheme="minorHAnsi" w:hAnsiTheme="minorHAnsi"/>
          <w:b/>
          <w:bCs/>
        </w:rPr>
        <w:t>escala M</w:t>
      </w:r>
      <w:r>
        <w:rPr>
          <w:rFonts w:asciiTheme="minorHAnsi" w:hAnsiTheme="minorHAnsi"/>
        </w:rPr>
        <w:t xml:space="preserve"> lo explica. </w:t>
      </w:r>
      <w:r>
        <w:rPr>
          <w:rFonts w:asciiTheme="minorHAnsi" w:hAnsiTheme="minorHAnsi"/>
          <w:b/>
          <w:bCs/>
        </w:rPr>
        <w:t>M3</w:t>
      </w:r>
      <w:r>
        <w:rPr>
          <w:rFonts w:asciiTheme="minorHAnsi" w:hAnsiTheme="minorHAnsi"/>
        </w:rPr>
        <w:t xml:space="preserve">, un estado de carga intermedia, actúa como antesala de </w:t>
      </w:r>
      <w:r>
        <w:rPr>
          <w:rFonts w:asciiTheme="minorHAnsi" w:hAnsiTheme="minorHAnsi"/>
          <w:b/>
          <w:bCs/>
        </w:rPr>
        <w:t>M1</w:t>
      </w:r>
      <w:r>
        <w:rPr>
          <w:rFonts w:asciiTheme="minorHAnsi" w:hAnsiTheme="minorHAnsi"/>
        </w:rPr>
        <w:t xml:space="preserve">: la transición M3→M1 es sistemática y conduce al estado de mayor riesgo del sistema (RR = 3,29). Una vez en M1, el sistema tiende a quedarse: M1 tiene la probabilidad de autotransición más alta de toda la escala M, lo que significa que en el próximo bloque de 5 minutos es más probable seguir en M1 que salir. Hay una puerta de entrada fácil y una salida difícil. Esa inercia es lo que, vista desde la </w:t>
      </w:r>
      <w:r>
        <w:rPr>
          <w:rFonts w:asciiTheme="minorHAnsi" w:hAnsiTheme="minorHAnsi"/>
          <w:b/>
          <w:bCs/>
        </w:rPr>
        <w:t>escala L</w:t>
      </w:r>
      <w:r>
        <w:rPr>
          <w:rFonts w:asciiTheme="minorHAnsi" w:hAnsiTheme="minorHAnsi"/>
        </w:rPr>
        <w:t>, se manifiesta como colapso de la resiliencia nocturna.</w:t>
      </w:r>
    </w:p>
    <w:p w14:paraId="6323DD48" w14:textId="77777777" w:rsidR="007B0DF7" w:rsidRDefault="007B0DF7" w:rsidP="00D639C0">
      <w:pPr>
        <w:spacing w:before="200" w:after="60" w:line="360" w:lineRule="auto"/>
      </w:pPr>
      <w:r>
        <w:t>La cadena de deterioro nocturno seguiría entonces el recorrido: M0/M2 (protector) → M4 (moderado) → M3 (antesala) → M1 (severo, sin retorno fácil).</w:t>
      </w:r>
    </w:p>
    <w:p w14:paraId="71ED038C" w14:textId="77777777" w:rsidR="007B0DF7" w:rsidRDefault="007B0DF7" w:rsidP="00D639C0">
      <w:pPr>
        <w:spacing w:before="200" w:after="60" w:line="360" w:lineRule="auto"/>
        <w:rPr>
          <w:rFonts w:asciiTheme="minorHAnsi" w:hAnsiTheme="minorHAnsi"/>
          <w:b/>
          <w:bCs/>
          <w:sz w:val="20"/>
          <w:szCs w:val="20"/>
        </w:rPr>
      </w:pPr>
      <w:r>
        <w:rPr>
          <w:rFonts w:asciiTheme="minorHAnsi" w:hAnsiTheme="minorHAnsi"/>
          <w:b/>
          <w:bCs/>
          <w:noProof/>
          <w:sz w:val="20"/>
          <w:szCs w:val="20"/>
        </w:rPr>
        <w:lastRenderedPageBreak/>
        <w:drawing>
          <wp:inline distT="0" distB="0" distL="0" distR="0" wp14:anchorId="221B2842" wp14:editId="426DE370">
            <wp:extent cx="5963474" cy="1053296"/>
            <wp:effectExtent l="0" t="0" r="0" b="0"/>
            <wp:docPr id="1504020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20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99198" cy="105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3D780" w14:textId="77777777" w:rsidR="00C96A54" w:rsidRDefault="00000000">
      <w:pPr>
        <w:spacing w:before="300" w:after="60"/>
      </w:pPr>
      <w:r>
        <w:rPr>
          <w:rFonts w:asciiTheme="minorHAnsi" w:hAnsiTheme="minorHAnsi"/>
          <w:b/>
          <w:bCs/>
          <w:sz w:val="20"/>
          <w:szCs w:val="20"/>
        </w:rPr>
        <w:t xml:space="preserve">Figura 6.4c. Corredor de deterioro Markoviano en escala M.</w:t>
      </w:r>
    </w:p>
    <w:p w14:paraId="5637D05A" w14:textId="77777777" w:rsidR="00C96A54" w:rsidRDefault="00000000">
      <w:pPr>
        <w:spacing w:after="200"/>
        <w:jc w:val="both"/>
      </w:pPr>
      <w:r>
        <w:rPr>
          <w:rFonts w:asciiTheme="minorHAnsi" w:hAnsiTheme="minorHAnsi"/>
          <w:i/>
          <w:iCs/>
          <w:sz w:val="18"/>
          <w:szCs w:val="18"/>
        </w:rPr>
        <w:t xml:space="preserve">Nota. La progresión M0/M2 (protector) → M4 (moderado) → M3 (antesala) → M1 (severo, sin retorno fácil) ilustra la inercia creciente del sistema fisiológico hacia estados de alta carga hipóxica. Los colores codifican el nivel de riesgo: bajo (verde), moderado (naranja claro), alta carga (naranja), severo/inercia alta (rojo). Origen: NB05, Sección 5.</w:t>
      </w:r>
    </w:p>
    <w:p w14:paraId="2CADFD62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6.5  Fenotipos dinámicos nocturnos </w:t>
      </w:r>
    </w:p>
    <w:p w14:paraId="29DE6541" w14:textId="77777777" w:rsidR="0075335A" w:rsidRDefault="007D62B0" w:rsidP="00D639C0">
      <w:pPr>
        <w:spacing w:after="2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K-means (K = 3) identificó tres fenotipos de trayectoria nocturna (Fig. 6.7, Anexo Suplementario) (Tabla 6.5). </w:t>
      </w:r>
    </w:p>
    <w:p w14:paraId="53DF417C" w14:textId="77777777" w:rsidR="0075335A" w:rsidRPr="00D639C0" w:rsidRDefault="0075335A" w:rsidP="0075335A">
      <w:pPr>
        <w:spacing w:before="200" w:after="60" w:line="360" w:lineRule="auto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t>Tabla 6.5. Fenotipos dinámicos nocturnos identificados por PAC (K = 3, 511 noches, 8 pacientes).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6"/>
        <w:gridCol w:w="1099"/>
        <w:gridCol w:w="1109"/>
        <w:gridCol w:w="1498"/>
        <w:gridCol w:w="1299"/>
        <w:gridCol w:w="999"/>
        <w:gridCol w:w="1000"/>
      </w:tblGrid>
      <w:tr w:rsidR="0075335A" w:rsidRPr="00D639C0" w14:paraId="752DBA2D" w14:textId="77777777" w:rsidTr="00E72CB4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007D7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Fenotipo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99C1F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Frac. M1 (severo)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72302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Frac. M3 (antesala)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6E416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% ev. severos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8EA18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ARI mediano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98D36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Trans. 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B1913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Entropía M</w:t>
            </w:r>
          </w:p>
        </w:tc>
      </w:tr>
      <w:tr w:rsidR="0075335A" w:rsidRPr="00D639C0" w14:paraId="3D383C92" w14:textId="77777777" w:rsidTr="00E72CB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C4D1A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Estable-Protector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6C8EB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2,5 %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6BD8F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12,0 %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2D6CA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3,1 %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6D3EE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0,524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D356B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29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70930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1,519</w:t>
            </w:r>
          </w:p>
        </w:tc>
      </w:tr>
      <w:tr w:rsidR="0075335A" w:rsidRPr="00D639C0" w14:paraId="72817B63" w14:textId="77777777" w:rsidTr="00E72CB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892FB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Carga Intermedia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B728F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3,4 %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6CDD0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22,7 %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273C3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5,3 %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FD974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0,492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61A46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43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AAED2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1,933</w:t>
            </w:r>
          </w:p>
        </w:tc>
      </w:tr>
      <w:tr w:rsidR="0075335A" w:rsidRPr="00D639C0" w14:paraId="17D24C59" w14:textId="77777777" w:rsidTr="00E72CB4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781A5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Carga Hipóxica Alta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57A5F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78,1 %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469D9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3,1 %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D93C7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37,9 %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B335A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0,284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DD97C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D696D" w14:textId="77777777" w:rsidR="0075335A" w:rsidRPr="00D639C0" w:rsidRDefault="0075335A" w:rsidP="00E72CB4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1,122</w:t>
            </w:r>
          </w:p>
        </w:tc>
      </w:tr>
    </w:tbl>
    <w:p w14:paraId="79C7AC53" w14:textId="77777777" w:rsidR="0075335A" w:rsidRDefault="0075335A" w:rsidP="0075335A">
      <w:pPr>
        <w:spacing w:after="1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 xml:space="preserve">Nota. K-means sobre PCA de 7 features nocturnas. </w:t>
      </w:r>
    </w:p>
    <w:p w14:paraId="7C2ADC9E" w14:textId="77777777" w:rsidR="007C078B" w:rsidRPr="007C078B" w:rsidRDefault="007C078B" w:rsidP="007C078B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La Tabla 6.5 muestra seis características para cada fenotipo. Las dos primeras, fracción de tiempo en M1 (severo) y M3 (antesala), indican cuánto de la noche transcurrió en cada estado: una noche con carga hipóxica alta (</w:t>
      </w:r>
      <w:r>
        <w:rPr>
          <w:rFonts w:asciiTheme="minorHAnsi" w:hAnsiTheme="minorHAnsi"/>
          <w:b/>
          <w:bCs/>
        </w:rPr>
        <w:t>CHA)</w:t>
      </w:r>
      <w:r>
        <w:rPr>
          <w:rFonts w:asciiTheme="minorHAnsi" w:hAnsiTheme="minorHAnsi"/>
        </w:rPr>
        <w:t xml:space="preserve"> pasa el 78,1 % en M1, mientras que una Estable-Protector apenas el 2,5 %. El porcentaje de eventos severos muestra que en CHA casi 4 de cada 10 eventos son C4 o C5 (morfotipo de evento), frente a 3 de cada 100 en Estable-Protector. El ARI mediano refleja la reactividad autonómica promedio de la noche. Las transiciones M cuentan cuántas veces el sistema cambió de estado durante la noche: CHA registra solo 6, frente a las 43 de Carga Intermedia; entra en M1 y prácticamente no sale. La entropía M mide cuán distribuido estuvo el tiempo entre los distintos estados: baja entropía significa que un estado dominó la noche; alta entropía, que la noche alternó entre varios. En CHA ambas métricas convergen: pocas transiciones y baja entropía confirman que la noche fue monótonamente severa, no un conjunto de episodios aislados.</w:t>
      </w:r>
    </w:p>
    <w:p w14:paraId="135E8BF8" w14:textId="77777777" w:rsidR="00A9687A" w:rsidRPr="00D639C0" w:rsidRDefault="007D62B0" w:rsidP="00D639C0">
      <w:pPr>
        <w:spacing w:after="2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lastRenderedPageBreak/>
        <w:t>El hallazgo clave es que CHA, dominado por el estado M1 (78,1 %) con ARI mediano de 0,284, aparece predominantemente en pacientes con severidad AASM Moderada, evidenciando discordancia entre índice de frecuencia y fenotipo dinámico. Un paciente AASM Moderado con fenotipo CHA presenta un perfil de riesgo nocturno cualitativamente diferente al de otro con el mismo ODI3 pero fenotipo Estable-Protector: la carga hipóxica reside en la dominancia sostenida del estado M1, un matiz que el conteo de eventos no captura. El ARI es prácticamente invariante entre fenotipos (diferencia máxima &lt; 0,25 entre extremos), confirmando su independencia respecto a la arquitectura de severidad dinámica.</w:t>
      </w:r>
    </w:p>
    <w:p w14:paraId="2D2C523B" w14:textId="77777777" w:rsidR="002F7285" w:rsidRPr="002F7285" w:rsidRDefault="002F7285" w:rsidP="002F7285">
      <w:pPr>
        <w:pStyle w:val="Ttulo2"/>
      </w:pPr>
      <w:r>
        <w:t>6.6 Importancia predictiva de las features PAC: ablación LOPO-CV</w:t>
      </w:r>
    </w:p>
    <w:p w14:paraId="185B7090" w14:textId="77777777" w:rsidR="002F7285" w:rsidRPr="002F7285" w:rsidRDefault="002F7285" w:rsidP="002F7285">
      <w:pPr>
        <w:pStyle w:val="NormalWeb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El estudio de ablación LOPO-CV (validación cruzada por paciente) cuantifica la contribución predictiva de cada grupo de variables mediante un Random Forest aplicado a la clasificación multiclase de cuatro categorías AASM sobre 540 noches.</w:t>
      </w:r>
    </w:p>
    <w:p w14:paraId="06F9F099" w14:textId="77777777" w:rsidR="002F7285" w:rsidRPr="002F7285" w:rsidRDefault="002F7285" w:rsidP="002F7285">
      <w:pPr>
        <w:pStyle w:val="NormalWeb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Los estados PAC concentran el 44,8 % de la importancia Gini total (Fig. 6.8), seguidos por los morfotipos (20,6 %) y la dinámica PAC (14,7 %). El modelo basado exclusivamente en estados PAC y dinámica PAC alcanza una </w:t>
      </w:r>
      <w:r>
        <w:rPr>
          <w:rStyle w:val="nfasis"/>
          <w:rFonts w:asciiTheme="minorHAnsi" w:hAnsiTheme="minorHAnsi"/>
        </w:rPr>
        <w:t>balanced accuracy</w:t>
      </w:r>
      <w:r>
        <w:rPr>
          <w:rFonts w:asciiTheme="minorHAnsi" w:hAnsiTheme="minorHAnsi"/>
        </w:rPr>
        <w:t xml:space="preserve"> de 0,521 ± 0,218, superando al modelo basado en índices clínicos convencionales (ODI3, T90, HB₃; 0,354 ± 0,294) y confirmando el valor predictivo autónomo de las representaciones PAC. El modelo basado exclusivamente en el ARI obtiene la </w:t>
      </w:r>
      <w:r>
        <w:rPr>
          <w:rStyle w:val="nfasis"/>
          <w:rFonts w:asciiTheme="minorHAnsi" w:hAnsiTheme="minorHAnsi"/>
        </w:rPr>
        <w:t>balanced accuracy</w:t>
      </w:r>
      <w:r>
        <w:rPr>
          <w:rFonts w:asciiTheme="minorHAnsi" w:hAnsiTheme="minorHAnsi"/>
        </w:rPr>
        <w:t xml:space="preserve"> más baja (0,281 ± 0,150), coherente con su ortogonalidad respecto a la severidad: el ARI mide una dimensión fisiológica distinta de la categoría AASM, no un predictor lineal de ella.</w:t>
      </w:r>
    </w:p>
    <w:p w14:paraId="3D8FDE78" w14:textId="77777777" w:rsidR="00A9687A" w:rsidRPr="00D639C0" w:rsidRDefault="00000000" w:rsidP="00D639C0">
      <w:pPr>
        <w:spacing w:before="200" w:after="60" w:line="360" w:lineRule="auto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t>Tabla 6.6. Importancia relativa de grupos de features — Random Forest, ablación LOPO-CV.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2000"/>
        <w:gridCol w:w="2500"/>
      </w:tblGrid>
      <w:tr w:rsidR="00A9687A" w:rsidRPr="00D639C0" w14:paraId="7FBA4C24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686F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Grupo de features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4CF1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N variables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91D3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Importancia (Gini)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19BFE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% sobre total</w:t>
            </w:r>
          </w:p>
        </w:tc>
      </w:tr>
      <w:tr w:rsidR="00A9687A" w:rsidRPr="00D639C0" w14:paraId="6CCDAAB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7FE6F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PAC States (S/M/L)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8BDD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6DE6D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0,4475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00431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44,8 %</w:t>
            </w:r>
          </w:p>
        </w:tc>
      </w:tr>
      <w:tr w:rsidR="00A9687A" w:rsidRPr="00D639C0" w14:paraId="1204837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BCD7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Morfotipos C1–C5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5CF3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AE59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0,2019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6BAAE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20,6 %</w:t>
            </w:r>
          </w:p>
        </w:tc>
      </w:tr>
      <w:tr w:rsidR="00A9687A" w:rsidRPr="00D639C0" w14:paraId="303A8B8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47FC3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PAC Dynamics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64EA1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35AD1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0,1466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FE61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14,7 %</w:t>
            </w:r>
          </w:p>
        </w:tc>
      </w:tr>
      <w:tr w:rsidR="00A9687A" w:rsidRPr="00D639C0" w14:paraId="48A2418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749A1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lastRenderedPageBreak/>
              <w:t>Variables clínicas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076F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F99AB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0,1023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73613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10,2 %</w:t>
            </w:r>
          </w:p>
        </w:tc>
      </w:tr>
      <w:tr w:rsidR="00A9687A" w:rsidRPr="00D639C0" w14:paraId="04F92EE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8D4F4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Sueño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E404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3A62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0,0680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9E3E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6,8 %</w:t>
            </w:r>
          </w:p>
        </w:tc>
      </w:tr>
      <w:tr w:rsidR="00A9687A" w:rsidRPr="00D639C0" w14:paraId="66F32E8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8EB7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ARI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D4F9A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3A2F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0,0337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F6CF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3,4 %</w:t>
            </w:r>
          </w:p>
        </w:tc>
      </w:tr>
    </w:tbl>
    <w:p w14:paraId="1A4C7D69" w14:textId="77777777" w:rsidR="00A9687A" w:rsidRPr="00D639C0" w:rsidRDefault="00000000" w:rsidP="00D639C0">
      <w:pPr>
        <w:spacing w:after="1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>Nota. Importancia Gini promediada sobre 8 folds LOPO-CV. 540 noches, 8 pacientes.</w:t>
      </w:r>
    </w:p>
    <w:p w14:paraId="0373D780" w14:textId="77777777" w:rsidR="00C96A54" w:rsidRDefault="00000000">
      <w:pPr>
        <w:spacing w:before="300" w:after="60"/>
      </w:pPr>
      <w:r>
        <w:rPr>
          <w:rFonts w:asciiTheme="minorHAnsi" w:hAnsiTheme="minorHAnsi"/>
          <w:b/>
          <w:bCs/>
          <w:sz w:val="20"/>
          <w:szCs w:val="20"/>
        </w:rPr>
        <w:t>Figura 6.8. Ablación por grupo de features — balanced accuracy LOPO-CV (clasificación multiclase, 4 categorías AASM).</w:t>
      </w:r>
    </w:p>
    <w:p w14:paraId="0E1EFF60" w14:textId="77777777" w:rsidR="00C96A54" w:rsidRDefault="00000000">
      <w:pPr>
        <w:spacing w:after="80"/>
        <w:jc w:val="center"/>
      </w:pPr>
      <w:r>
        <w:rPr>
          <w:noProof/>
        </w:rPr>
        <w:drawing>
          <wp:inline distT="0" distB="0" distL="0" distR="0" wp14:anchorId="413A5469" wp14:editId="75C5296A">
            <wp:extent cx="5400000" cy="2050103"/>
            <wp:effectExtent l="0" t="0" r="0" b="0"/>
            <wp:docPr id="41" name="06_ablation_study.png" descr="Figura 6.8. Ablación por grupo de features — balanced accuracy LOPO-CV (clasificación multiclase, 4 categorías AASM)." title="Figura 6.8. Ablación por grupo de features — balanced accuracy LOPO-CV (clasificación multiclase, 4 categorías AASM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05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D05A" w14:textId="77777777" w:rsidR="00C96A54" w:rsidRDefault="00000000">
      <w:pPr>
        <w:spacing w:after="200"/>
        <w:jc w:val="both"/>
      </w:pPr>
      <w:r>
        <w:rPr>
          <w:rFonts w:asciiTheme="minorHAnsi" w:hAnsiTheme="minorHAnsi"/>
          <w:i/>
          <w:iCs/>
          <w:sz w:val="18"/>
          <w:szCs w:val="18"/>
        </w:rPr>
        <w:t>Nota. Barras = media ± SD sobre 8 folds LOPO-CV. Los PAC States concentran el 44,8 % de la importancia Gini total. El modelo PAC States + Dinámica PAC supera al modelo basado en índices clínicos convencionales (0,521 vs. 0,354 balanced accuracy).</w:t>
      </w:r>
    </w:p>
    <w:p w14:paraId="3640FBAA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6.7  Modelo predictivo a nivel de evento</w:t>
      </w:r>
    </w:p>
    <w:p w14:paraId="760382F8" w14:textId="77777777" w:rsidR="004C3724" w:rsidRDefault="004C3724" w:rsidP="00D639C0">
      <w:pPr>
        <w:spacing w:after="200" w:line="360" w:lineRule="auto"/>
        <w:jc w:val="both"/>
      </w:pPr>
      <w:r>
        <w:rPr>
          <w:rFonts w:asciiTheme="minorHAnsi" w:hAnsiTheme="minorHAnsi"/>
        </w:rPr>
        <w:t>El modelo de predicción de evento severo estima la probabilidad de que un EDO individual sea morfológicamente severo (C4 o C5). Para hacerlo, no mira el evento en sí sino lo que ocurrió antes: acumula información de los eventos previos de la noche y del estado PAC activo en una ventana de aproximadamente 5 minutos (el horizonte temporal equivalente a la escala M) y con eso estima el riesgo del próximo evento.</w:t>
      </w:r>
    </w:p>
    <w:p w14:paraId="7FC4589B" w14:textId="77777777" w:rsidR="004C3724" w:rsidRDefault="00000000" w:rsidP="004C3724">
      <w:pPr>
        <w:spacing w:after="2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Sobre 76.053 eventos (prevalencia de clase positiva: 5,57 %), el LightGBM mejoró sustancialmente sobre la regresión logística basal: AUC = 0,878 vs. 0,743; precisión promedio (AP, Average Precision) = 0,240 vs. 0,164 (Tabla 6.7). El rango de AUC entre folds (0,798–0,964) indica consistencia entre pacientes. Las features más predictivas son los contextos acumulados: </w:t>
      </w:r>
      <w:r>
        <w:rPr>
          <w:rFonts w:asciiTheme="minorHAnsi" w:hAnsiTheme="minorHAnsi"/>
          <w:i/>
          <w:iCs/>
        </w:rPr>
        <w:t>event_position</w:t>
      </w:r>
      <w:r>
        <w:rPr>
          <w:rFonts w:asciiTheme="minorHAnsi" w:hAnsiTheme="minorHAnsi"/>
        </w:rPr>
        <w:t xml:space="preserve"> (posición en la noche), </w:t>
      </w:r>
      <w:r>
        <w:rPr>
          <w:rFonts w:asciiTheme="minorHAnsi" w:hAnsiTheme="minorHAnsi"/>
          <w:i/>
          <w:iCs/>
        </w:rPr>
        <w:t>recent_morph_mean</w:t>
      </w:r>
      <w:r>
        <w:rPr>
          <w:rFonts w:asciiTheme="minorHAnsi" w:hAnsiTheme="minorHAnsi"/>
        </w:rPr>
        <w:t xml:space="preserve"> (morfotipos recientes), </w:t>
      </w:r>
      <w:r>
        <w:rPr>
          <w:rFonts w:asciiTheme="minorHAnsi" w:hAnsiTheme="minorHAnsi"/>
          <w:i/>
          <w:iCs/>
        </w:rPr>
        <w:t>ci_so_far</w:t>
      </w:r>
      <w:r>
        <w:rPr>
          <w:rFonts w:asciiTheme="minorHAnsi" w:hAnsiTheme="minorHAnsi"/>
        </w:rPr>
        <w:t xml:space="preserve"> (acoplamiento acumulado) y </w:t>
      </w:r>
      <w:r>
        <w:rPr>
          <w:rFonts w:asciiTheme="minorHAnsi" w:hAnsiTheme="minorHAnsi"/>
          <w:i/>
          <w:iCs/>
        </w:rPr>
        <w:t>state_s_enc</w:t>
      </w:r>
      <w:r>
        <w:rPr>
          <w:rFonts w:asciiTheme="minorHAnsi" w:hAnsiTheme="minorHAnsi"/>
        </w:rPr>
        <w:t xml:space="preserve"> (estado S activo): el riesgo de evento severo se lee como acumulación </w:t>
      </w:r>
      <w:r>
        <w:rPr>
          <w:rFonts w:asciiTheme="minorHAnsi" w:hAnsiTheme="minorHAnsi"/>
        </w:rPr>
        <w:lastRenderedPageBreak/>
        <w:t>progresiva de deterioro dentro de la noche. Cuando el modelo asigna probabilidades altas a eventos que morfológicamente parecen leves (C1 o C2), no hay contradicción: el contexto fisiológico activo (el estado PAC) y la historia reciente de la noche ya anticiparon el deterioro antes de que el evento individual lo exprese. Es la diferencia entre leer una palabra suelta y leer la oración completa.</w:t>
      </w:r>
    </w:p>
    <w:p w14:paraId="2A881D88" w14:textId="77777777" w:rsidR="00A9687A" w:rsidRPr="00D639C0" w:rsidRDefault="00000000" w:rsidP="004C3724">
      <w:pPr>
        <w:spacing w:after="2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t>Tabla 6.7. Rendimiento del modelo predictivo de evento severo — LOPO-CV.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9"/>
        <w:gridCol w:w="1268"/>
        <w:gridCol w:w="1268"/>
        <w:gridCol w:w="1332"/>
        <w:gridCol w:w="1439"/>
        <w:gridCol w:w="1274"/>
      </w:tblGrid>
      <w:tr w:rsidR="00A9687A" w:rsidRPr="00D639C0" w14:paraId="7D225CD6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1C18C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Modelo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AFB3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AUC LOPO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44147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AP LOPO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9018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Sensibilidad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C95D9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Especificidad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D7EB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Mejora AP</w:t>
            </w:r>
          </w:p>
        </w:tc>
      </w:tr>
      <w:tr w:rsidR="00A9687A" w:rsidRPr="00D639C0" w14:paraId="767BEE1D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0665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Regresión logística (basal)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3075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0,743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CCE5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0,164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41175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0,716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E7E1C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0,660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8D263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2,9×</w:t>
            </w:r>
          </w:p>
        </w:tc>
      </w:tr>
      <w:tr w:rsidR="00A9687A" w:rsidRPr="00D639C0" w14:paraId="7BA4DD4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AB9B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LightGBM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23EAD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0,878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B2CFF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0,240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9E451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0,87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8BB5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0,76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6B544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4,3×</w:t>
            </w:r>
          </w:p>
        </w:tc>
      </w:tr>
    </w:tbl>
    <w:p w14:paraId="7ECAA684" w14:textId="77777777" w:rsidR="00A9687A" w:rsidRPr="00D639C0" w:rsidRDefault="00000000" w:rsidP="00D639C0">
      <w:pPr>
        <w:spacing w:after="1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>Nota. Clase positiva = C4 o C5 (5,57 %). Baseline AP = 5,56 % (prevalencia). Rango AUC por fold (LightGBM): 0,798–0,964.</w:t>
      </w:r>
    </w:p>
    <w:p w14:paraId="3F63042C" w14:textId="77777777" w:rsidR="00A9687A" w:rsidRPr="00D639C0" w:rsidRDefault="00000000" w:rsidP="00D639C0">
      <w:pPr>
        <w:spacing w:before="80" w:after="160" w:line="360" w:lineRule="auto"/>
        <w:rPr>
          <w:rFonts w:asciiTheme="minorHAnsi" w:hAnsiTheme="minorHAnsi"/>
        </w:rPr>
      </w:pPr>
      <w:r>
        <w:rPr>
          <w:rFonts w:ascii="Segoe UI Symbol" w:hAnsi="Segoe UI Symbol" w:cs="Segoe UI Symbol"/>
          <w:i/>
          <w:iCs/>
          <w:color w:val="555555"/>
          <w:sz w:val="20"/>
          <w:szCs w:val="20"/>
        </w:rPr>
        <w:t>▸</w:t>
      </w:r>
      <w:r>
        <w:rPr>
          <w:rFonts w:asciiTheme="minorHAnsi" w:hAnsiTheme="minorHAnsi"/>
          <w:i/>
          <w:iCs/>
          <w:color w:val="555555"/>
          <w:sz w:val="20"/>
          <w:szCs w:val="20"/>
        </w:rPr>
        <w:t xml:space="preserve"> Figura complementaria en Anexo: Fig. 6.9 (curvas ROC y Precision-Recall comparativas).</w:t>
      </w:r>
    </w:p>
    <w:p w14:paraId="54A3ED51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6.8  Modelo predictivo a nivel de noche</w:t>
      </w:r>
    </w:p>
    <w:p w14:paraId="2FD41465" w14:textId="77777777" w:rsidR="00A9687A" w:rsidRPr="00E70F72" w:rsidRDefault="0066574C" w:rsidP="00E70F72">
      <w:pPr>
        <w:pStyle w:val="NormalWeb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El modelo de clasificación nocturna opera con clasificación binaria: </w:t>
      </w:r>
      <w:r>
        <w:rPr>
          <w:rFonts w:asciiTheme="minorHAnsi" w:hAnsiTheme="minorHAnsi"/>
          <w:i/>
          <w:iCs/>
        </w:rPr>
        <w:t>Normal+Leve</w:t>
      </w:r>
      <w:r>
        <w:rPr>
          <w:rFonts w:asciiTheme="minorHAnsi" w:hAnsiTheme="minorHAnsi"/>
        </w:rPr>
        <w:t xml:space="preserve"> versus </w:t>
      </w:r>
      <w:r>
        <w:rPr>
          <w:rFonts w:asciiTheme="minorHAnsi" w:hAnsiTheme="minorHAnsi"/>
          <w:i/>
          <w:iCs/>
        </w:rPr>
        <w:t>Moderado+Severo</w:t>
      </w:r>
      <w:r>
        <w:rPr>
          <w:rFonts w:asciiTheme="minorHAnsi" w:hAnsiTheme="minorHAnsi"/>
        </w:rPr>
        <w:t>, sobre 540 noches (el 32,0 % clasificadas como Moderado+Severo). En este caso, la regresión logística superó al Random Forest: AUC = 0,874 vs. 0,815; precisión promedio (</w:t>
      </w:r>
      <w:r>
        <w:rPr>
          <w:rFonts w:asciiTheme="minorHAnsi" w:hAnsiTheme="minorHAnsi"/>
          <w:b/>
          <w:bCs/>
        </w:rPr>
        <w:t>AP</w:t>
      </w:r>
      <w:r>
        <w:rPr>
          <w:rFonts w:asciiTheme="minorHAnsi" w:hAnsiTheme="minorHAnsi"/>
        </w:rPr>
        <w:t xml:space="preserve">) = 0,764 vs. 0,649 (Tabla 6.8). </w:t>
      </w:r>
      <w:r>
        <w:rPr>
          <w:rFonts w:asciiTheme="minorHAnsi" w:eastAsia="Arial" w:hAnsiTheme="minorHAnsi" w:cs="Arial"/>
        </w:rPr>
        <w:t xml:space="preserve">Esta superioridad sugiere que, una vez transformadas las señales crudas en </w:t>
      </w:r>
      <w:r>
        <w:rPr>
          <w:rFonts w:asciiTheme="minorHAnsi" w:hAnsiTheme="minorHAnsi"/>
        </w:rPr>
        <w:t>dimensiones</w:t>
      </w:r>
      <w:r>
        <w:rPr>
          <w:rFonts w:asciiTheme="minorHAnsi" w:eastAsia="Arial" w:hAnsiTheme="minorHAnsi" w:cs="Arial"/>
        </w:rPr>
        <w:t xml:space="preserve"> PAC, la separación entre noches de bajo y alto riesgo es aproximadamente lineal</w:t>
      </w:r>
      <w:r>
        <w:rPr>
          <w:rFonts w:asciiTheme="minorHAnsi" w:hAnsiTheme="minorHAnsi"/>
        </w:rPr>
        <w:t xml:space="preserve">; </w:t>
      </w:r>
      <w:r>
        <w:rPr>
          <w:rFonts w:asciiTheme="minorHAnsi" w:eastAsia="Arial" w:hAnsiTheme="minorHAnsi" w:cs="Arial"/>
        </w:rPr>
        <w:t xml:space="preserve">la complejidad fisiológica fue capturada en etapas previas del pipeline. </w:t>
      </w:r>
      <w:r>
        <w:rPr>
          <w:rFonts w:asciiTheme="minorHAnsi" w:hAnsiTheme="minorHAnsi"/>
        </w:rPr>
        <w:t xml:space="preserve">Las dimensiones más influyentes son las fracciones de tiempo en </w:t>
      </w:r>
      <w:r>
        <w:rPr>
          <w:rFonts w:asciiTheme="minorHAnsi" w:hAnsiTheme="minorHAnsi"/>
          <w:b/>
          <w:bCs/>
        </w:rPr>
        <w:t>estados M</w:t>
      </w:r>
      <w:r>
        <w:rPr>
          <w:rFonts w:asciiTheme="minorHAnsi" w:hAnsiTheme="minorHAnsi"/>
        </w:rPr>
        <w:t xml:space="preserve">: cuánto de la noche pasó en </w:t>
      </w:r>
      <w:r>
        <w:rPr>
          <w:rFonts w:asciiTheme="minorHAnsi" w:hAnsiTheme="minorHAnsi"/>
          <w:b/>
          <w:bCs/>
        </w:rPr>
        <w:t>M0, M1, M2 y M3</w:t>
      </w:r>
      <w:r>
        <w:rPr>
          <w:rFonts w:asciiTheme="minorHAnsi" w:hAnsiTheme="minorHAnsi"/>
        </w:rPr>
        <w:t xml:space="preserve"> explica el 69,4 % de la importancia del modelo. Que sean precisamente los estados de </w:t>
      </w:r>
      <w:r>
        <w:rPr>
          <w:rFonts w:asciiTheme="minorHAnsi" w:hAnsiTheme="minorHAnsi"/>
          <w:b/>
          <w:bCs/>
        </w:rPr>
        <w:t>escala M</w:t>
      </w:r>
      <w:r>
        <w:rPr>
          <w:rFonts w:asciiTheme="minorHAnsi" w:hAnsiTheme="minorHAnsi"/>
        </w:rPr>
        <w:t xml:space="preserve">, y no los de </w:t>
      </w:r>
      <w:r>
        <w:rPr>
          <w:rFonts w:asciiTheme="minorHAnsi" w:hAnsiTheme="minorHAnsi"/>
          <w:b/>
          <w:bCs/>
        </w:rPr>
        <w:t xml:space="preserve">escala S </w:t>
      </w:r>
      <w:r>
        <w:rPr>
          <w:rFonts w:asciiTheme="minorHAnsi" w:hAnsiTheme="minorHAnsi"/>
        </w:rPr>
        <w:t>o</w:t>
      </w:r>
      <w:r>
        <w:rPr>
          <w:rFonts w:asciiTheme="minorHAnsi" w:hAnsiTheme="minorHAnsi"/>
          <w:b/>
          <w:bCs/>
        </w:rPr>
        <w:t xml:space="preserve"> L</w:t>
      </w:r>
      <w:r>
        <w:rPr>
          <w:rFonts w:asciiTheme="minorHAnsi" w:hAnsiTheme="minorHAnsi"/>
        </w:rPr>
        <w:t xml:space="preserve">, los que mejor predicen la categoría nocturna es consistente con lo que el Cap 05 mostró: </w:t>
      </w:r>
      <w:r>
        <w:rPr>
          <w:rFonts w:asciiTheme="minorHAnsi" w:hAnsiTheme="minorHAnsi"/>
          <w:b/>
          <w:bCs/>
        </w:rPr>
        <w:t>M1</w:t>
      </w:r>
      <w:r>
        <w:rPr>
          <w:rFonts w:asciiTheme="minorHAnsi" w:hAnsiTheme="minorHAnsi"/>
        </w:rPr>
        <w:t xml:space="preserve"> es el mejor predictor de carga hipóxica acumulada. El modelo no solo funciona, sino que lo hace por las razones fisiológicas correctas.</w:t>
      </w:r>
    </w:p>
    <w:p w14:paraId="761F239B" w14:textId="77777777" w:rsidR="00A9687A" w:rsidRPr="00D639C0" w:rsidRDefault="00000000" w:rsidP="00D639C0">
      <w:pPr>
        <w:spacing w:before="200" w:after="60" w:line="360" w:lineRule="auto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t>Tabla 6.8. Rendimiento del modelo predictivo nocturno binario — LOPO-CV.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000"/>
        <w:gridCol w:w="2000"/>
      </w:tblGrid>
      <w:tr w:rsidR="00A9687A" w:rsidRPr="00D639C0" w14:paraId="65EDB106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5E50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lastRenderedPageBreak/>
              <w:t>Modelo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EF5DC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AUC LOPO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ACFFE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Average Precision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9F94C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Baseline AP</w:t>
            </w:r>
          </w:p>
        </w:tc>
      </w:tr>
      <w:tr w:rsidR="00A9687A" w:rsidRPr="00D639C0" w14:paraId="6709A63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D19E7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Regresión logística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7B43F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0,874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A9BFE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0,764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F4793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0,320</w:t>
            </w:r>
          </w:p>
        </w:tc>
      </w:tr>
      <w:tr w:rsidR="00A9687A" w:rsidRPr="00D639C0" w14:paraId="7A4373C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BA28A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Random Forest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7784D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0,815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EF8AA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0,649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671AB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0,320</w:t>
            </w:r>
          </w:p>
        </w:tc>
      </w:tr>
    </w:tbl>
    <w:p w14:paraId="08BD7E26" w14:textId="77777777" w:rsidR="00D54A6F" w:rsidRPr="00D54A6F" w:rsidRDefault="00D54A6F" w:rsidP="00D639C0">
      <w:pPr>
        <w:spacing w:before="80" w:after="160" w:line="360" w:lineRule="auto"/>
        <w:rPr>
          <w:i/>
          <w:iCs/>
          <w:color w:val="808080" w:themeColor="background1" w:themeShade="80"/>
          <w:sz w:val="18"/>
          <w:szCs w:val="18"/>
        </w:rPr>
      </w:pPr>
      <w:r>
        <w:rPr>
          <w:i/>
          <w:iCs/>
          <w:color w:val="808080" w:themeColor="background1" w:themeShade="80"/>
          <w:sz w:val="18"/>
          <w:szCs w:val="18"/>
        </w:rPr>
        <w:t>Nota. Clasificación binaria: Normal+Leve vs. Moderado+Severo. n = 540 noches, 8 pacientes, LOPO-CV estricto.</w:t>
      </w:r>
    </w:p>
    <w:p w14:paraId="689D3E03" w14:textId="77777777" w:rsidR="00A9687A" w:rsidRPr="00D639C0" w:rsidRDefault="00000000" w:rsidP="00D639C0">
      <w:pPr>
        <w:spacing w:before="80" w:after="160" w:line="360" w:lineRule="auto"/>
        <w:rPr>
          <w:rFonts w:asciiTheme="minorHAnsi" w:hAnsiTheme="minorHAnsi"/>
        </w:rPr>
      </w:pPr>
      <w:r>
        <w:rPr>
          <w:rFonts w:ascii="Segoe UI Symbol" w:hAnsi="Segoe UI Symbol" w:cs="Segoe UI Symbol"/>
          <w:i/>
          <w:iCs/>
          <w:color w:val="555555"/>
          <w:sz w:val="20"/>
          <w:szCs w:val="20"/>
        </w:rPr>
        <w:t>▸</w:t>
      </w:r>
      <w:r>
        <w:rPr>
          <w:rFonts w:asciiTheme="minorHAnsi" w:hAnsiTheme="minorHAnsi"/>
          <w:i/>
          <w:iCs/>
          <w:color w:val="555555"/>
          <w:sz w:val="20"/>
          <w:szCs w:val="20"/>
        </w:rPr>
        <w:t xml:space="preserve"> Figura complementaria en Anexo: Fig. 6.10 (curvas ROC y Precision-Recall nocturnas).</w:t>
      </w:r>
    </w:p>
    <w:p w14:paraId="7360DA7E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6.9  Risk Score PAC</w:t>
      </w:r>
    </w:p>
    <w:p w14:paraId="65AB1912" w14:textId="77777777" w:rsidR="00166285" w:rsidRPr="00166285" w:rsidRDefault="00166285" w:rsidP="00166285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El módulo final integra los dos componentes desarrollados en las secciones anteriores —el modelo de predicción de evento severo (§6.7) y el modelo de clasificación nocturna (§6.8)— en el Risk Score PAC (escala 0–100): 40 % del </w:t>
      </w:r>
      <w:r>
        <w:rPr>
          <w:rFonts w:asciiTheme="minorHAnsi" w:hAnsiTheme="minorHAnsi"/>
          <w:i/>
          <w:iCs/>
        </w:rPr>
        <w:t>score de evento</w:t>
      </w:r>
      <w:r>
        <w:rPr>
          <w:rFonts w:asciiTheme="minorHAnsi" w:hAnsiTheme="minorHAnsi"/>
        </w:rPr>
        <w:t xml:space="preserve"> (probabilidad media LightGBM sobre los EDOs de la noche) y 60 % del </w:t>
      </w:r>
      <w:r>
        <w:rPr>
          <w:rFonts w:asciiTheme="minorHAnsi" w:hAnsiTheme="minorHAnsi"/>
          <w:i/>
          <w:iCs/>
        </w:rPr>
        <w:t>score de noche</w:t>
      </w:r>
      <w:r>
        <w:rPr>
          <w:rFonts w:asciiTheme="minorHAnsi" w:hAnsiTheme="minorHAnsi"/>
        </w:rPr>
        <w:t xml:space="preserve"> (probabilidad de la regresión logística).</w:t>
      </w:r>
    </w:p>
    <w:p w14:paraId="6FEDA6C5" w14:textId="77777777" w:rsidR="00166285" w:rsidRPr="00166285" w:rsidRDefault="00166285" w:rsidP="00166285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El componente nocturno recibe mayor peso por su naturaleza global y su menor sensibilidad al ruido de señal en ventanas individuales (Tabla 6.9). La asignación 40/60 es una decisión de diseño no sometida a análisis de sensibilidad formal; la robustez de los pesos ante variaciones en ese rango queda como trabajo pendiente.</w:t>
      </w:r>
    </w:p>
    <w:p w14:paraId="0B23CE9A" w14:textId="77777777" w:rsidR="00A9687A" w:rsidRPr="00D639C0" w:rsidRDefault="00F0297D" w:rsidP="00F0297D">
      <w:pPr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w14:paraId="77B9A729" w14:textId="77777777" w:rsidR="00A9687A" w:rsidRPr="00D639C0" w:rsidRDefault="00000000" w:rsidP="00D639C0">
      <w:pPr>
        <w:spacing w:before="200" w:after="60" w:line="360" w:lineRule="auto"/>
        <w:rPr>
          <w:rFonts w:asciiTheme="minorHAnsi" w:hAnsiTheme="minorHAnsi"/>
        </w:rPr>
      </w:pPr>
      <w:r>
        <w:rPr>
          <w:rFonts w:asciiTheme="minorHAnsi" w:hAnsiTheme="minorHAnsi"/>
          <w:b/>
          <w:bCs/>
          <w:sz w:val="20"/>
          <w:szCs w:val="20"/>
        </w:rPr>
        <w:lastRenderedPageBreak/>
        <w:t>Tabla 6.9. Composición del Risk Score PAC (escala 0–100).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536"/>
        <w:gridCol w:w="1418"/>
        <w:gridCol w:w="1346"/>
      </w:tblGrid>
      <w:tr w:rsidR="00A9687A" w:rsidRPr="00D639C0" w14:paraId="3323FBD4" w14:textId="77777777" w:rsidTr="00561E9A"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EB91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FA874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Fuente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E6912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Peso</w:t>
            </w:r>
          </w:p>
        </w:tc>
        <w:tc>
          <w:tcPr>
            <w:tcW w:w="1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1A5D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AUC base</w:t>
            </w:r>
          </w:p>
        </w:tc>
      </w:tr>
      <w:tr w:rsidR="00A9687A" w:rsidRPr="00D639C0" w14:paraId="3C6592EF" w14:textId="77777777" w:rsidTr="00561E9A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0BBE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Score de evento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43B46" w14:textId="77777777" w:rsidR="00A9687A" w:rsidRPr="00561E9A" w:rsidRDefault="00000000" w:rsidP="00D639C0">
            <w:pPr>
              <w:spacing w:line="360" w:lineRule="auto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LightGBM — predicción de evento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29711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40 %</w:t>
            </w:r>
          </w:p>
        </w:tc>
        <w:tc>
          <w:tcPr>
            <w:tcW w:w="1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A2836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0,878</w:t>
            </w:r>
          </w:p>
        </w:tc>
      </w:tr>
      <w:tr w:rsidR="00A9687A" w:rsidRPr="00D639C0" w14:paraId="3D7705E1" w14:textId="77777777" w:rsidTr="00561E9A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2A34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Score de noche</w:t>
            </w:r>
          </w:p>
        </w:tc>
        <w:tc>
          <w:tcPr>
            <w:tcW w:w="45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ECD70" w14:textId="77777777" w:rsidR="00A9687A" w:rsidRPr="00561E9A" w:rsidRDefault="00561E9A" w:rsidP="00D639C0">
            <w:pPr>
              <w:spacing w:line="360" w:lineRule="auto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Regresión logística — clasificación nocturna</w:t>
            </w:r>
          </w:p>
        </w:tc>
        <w:tc>
          <w:tcPr>
            <w:tcW w:w="14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BF1B8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60 %</w:t>
            </w:r>
          </w:p>
        </w:tc>
        <w:tc>
          <w:tcPr>
            <w:tcW w:w="13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4E3E0" w14:textId="77777777" w:rsidR="00A9687A" w:rsidRPr="00D639C0" w:rsidRDefault="00000000" w:rsidP="00D639C0">
            <w:pPr>
              <w:spacing w:line="36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0,874</w:t>
            </w:r>
          </w:p>
        </w:tc>
      </w:tr>
    </w:tbl>
    <w:p w14:paraId="1A296C2C" w14:textId="77777777" w:rsidR="00A9687A" w:rsidRPr="00D639C0" w:rsidRDefault="00000000" w:rsidP="00D639C0">
      <w:pPr>
        <w:spacing w:after="1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  <w:i/>
          <w:iCs/>
          <w:sz w:val="20"/>
          <w:szCs w:val="20"/>
        </w:rPr>
        <w:t>Nota. Fórmula: Risk Score = (0,40 × p_ev_norm + 0,60 × p_high_risk_night) × 100. Etiquetas: Bajo &lt; 30, Moderado 30–60, Alto &gt; 60.</w:t>
      </w:r>
    </w:p>
    <w:p w14:paraId="422788E2" w14:textId="77777777" w:rsidR="00166285" w:rsidRPr="00166285" w:rsidRDefault="00166285" w:rsidP="00166285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La distribución del score muestra un gradiente monótono (sin inversiones entre categorías) con medianas de 29,2 (Normal), 29,4 (Leve), 72,9 (Moderado) y 81,0 (Severo), confirmando que el índice captura la progresión de severidad en el orden clínicamente esperado. La proximidad entre las medianas de Normal y Leve refleja una limitación del score en el extremo inferior: ambas categorías comparten perfiles fisiológicos dinámicos similares que los modelos no logran separar con claridad, lo que es consistente con la baja prevalencia de noches Normal en la cohorte.</w:t>
      </w:r>
    </w:p>
    <w:p w14:paraId="01BB2916" w14:textId="77777777" w:rsidR="00166285" w:rsidRPr="00166285" w:rsidRDefault="00166285" w:rsidP="00166285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El umbral de 60 puntos identifica el 100 % de las noches Severas y el 77,6 % de las Moderadas como de alto riesgo, con una tasa de falsos positivos del 9,4 % en Leve y del 0 % en Normal. El </w:t>
      </w:r>
      <w:r>
        <w:rPr>
          <w:rFonts w:asciiTheme="minorHAnsi" w:hAnsiTheme="minorHAnsi"/>
          <w:b/>
          <w:bCs/>
        </w:rPr>
        <w:t xml:space="preserve">Risk Score PAC </w:t>
      </w:r>
      <w:r>
        <w:rPr>
          <w:rFonts w:asciiTheme="minorHAnsi" w:hAnsiTheme="minorHAnsi"/>
        </w:rPr>
        <w:t>no es un sistema de monitoreo en tiempo real sino un índice de caracterización dinámica retrospectiva. Su valor reside en describir la arquitectura fisiológica de la noche: no solo cuántos eventos ocurrieron, sino en qué estados del organismo ocurrieron y qué trayectoria siguió el sistema. Esto lo hace útil para fenotipado post-diagnóstico, seguimiento longitudinal y detección de noches con riesgo oculto.</w:t>
      </w:r>
    </w:p>
    <w:p w14:paraId="0423E273" w14:textId="77777777" w:rsidR="00A9687A" w:rsidRPr="00D639C0" w:rsidRDefault="00000000" w:rsidP="00561E9A">
      <w:pPr>
        <w:spacing w:after="200" w:line="360" w:lineRule="auto"/>
        <w:jc w:val="both"/>
        <w:rPr>
          <w:rFonts w:asciiTheme="minorHAnsi" w:hAnsiTheme="minorHAnsi"/>
        </w:rPr>
      </w:pPr>
      <w:r>
        <w:rPr>
          <w:rFonts w:ascii="Segoe UI Symbol" w:hAnsi="Segoe UI Symbol" w:cs="Segoe UI Symbol"/>
          <w:i/>
          <w:iCs/>
          <w:color w:val="555555"/>
          <w:sz w:val="20"/>
          <w:szCs w:val="20"/>
        </w:rPr>
        <w:t>▸</w:t>
      </w:r>
      <w:r>
        <w:rPr>
          <w:rFonts w:asciiTheme="minorHAnsi" w:hAnsiTheme="minorHAnsi"/>
          <w:i/>
          <w:iCs/>
          <w:color w:val="555555"/>
          <w:sz w:val="20"/>
          <w:szCs w:val="20"/>
        </w:rPr>
        <w:t xml:space="preserve"> Figura complementaria en Anexo: Fig. 6.11 (distribución del Risk Score por categoría AASM, boxplot y distribución proporcional).</w:t>
      </w:r>
    </w:p>
    <w:p w14:paraId="6FB304C2" w14:textId="77777777" w:rsidR="00A9687A" w:rsidRPr="00D639C0" w:rsidRDefault="00000000" w:rsidP="00D639C0">
      <w:pPr>
        <w:pStyle w:val="Ttulo2"/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>6.10  Limitaciones</w:t>
      </w:r>
    </w:p>
    <w:p w14:paraId="41CA730B" w14:textId="77777777" w:rsidR="00CC2EEF" w:rsidRPr="00CC2EEF" w:rsidRDefault="00CC2EEF" w:rsidP="00CC2EEF">
      <w:pPr>
        <w:pStyle w:val="font-claude-response-body"/>
        <w:spacing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Los resultados deben interpretarse en el contexto de una cohorte reducida. Con n = 8 en la cohorte estricta, el LOPO-CV produce ocho puntos de rendimiento independientes: suficientes para estimar tendencias con magnitud de efecto </w:t>
      </w:r>
      <w:r>
        <w:rPr>
          <w:rFonts w:asciiTheme="minorHAnsi" w:hAnsiTheme="minorHAnsi"/>
        </w:rPr>
        <w:lastRenderedPageBreak/>
        <w:t>estimable, no para certificación clínica. La varianza entre folds es considerable (balanced accuracy en ablación: 0,469 ± 0,259; AUC de evento: 0,798–0,964), reflejando heterogeneidad fisiológica real entre pacientes. La ausencia de polisomnografía concurrente —limitación compartida con los capítulos anteriores— restringe la interpretación de los estadios de sueño estimados y la comparación directa con el AHI.</w:t>
      </w:r>
    </w:p>
    <w:p w14:paraId="0EAC46D7" w14:textId="77777777" w:rsidR="00A9687A" w:rsidRPr="00D639C0" w:rsidRDefault="00000000" w:rsidP="00D639C0">
      <w:pPr>
        <w:spacing w:after="200" w:line="360" w:lineRule="auto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El Risk Score PAC no es una herramienta clínica validada: requeriría calibración externa, evaluación de reproducibilidad, asociación con outcomes clínicos y análisis de utilidad incremental frente a índices establecidos antes de cualquier uso asistencial. La predicción en tiempo real —con lead time explícito y habilitación del estimulador terapéutico— es objeto del Capítulo 8; las implicaciones clínicas y las líneas de trabajo futuro se retoman en el Capítulo 9.</w:t>
      </w:r>
    </w:p>
    <w:p w14:paraId="0226516B" w14:textId="77777777" w:rsidR="00A9687A" w:rsidRPr="00D639C0" w:rsidRDefault="00A9687A" w:rsidP="00D639C0">
      <w:pPr>
        <w:spacing w:before="400" w:line="360" w:lineRule="auto"/>
        <w:rPr>
          <w:rFonts w:asciiTheme="minorHAnsi" w:hAnsiTheme="minorHAnsi"/>
        </w:rPr>
      </w:pPr>
    </w:p>
    <w:sectPr w:rsidR="00A9687A" w:rsidRPr="00D639C0">
      <w:headerReference w:type="default" r:id="rId10"/>
      <w:pgSz w:w="11906" w:h="16838"/>
      <w:pgMar w:top="1701" w:right="1418" w:bottom="1701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25D6B" w14:textId="77777777" w:rsidR="002D569F" w:rsidRDefault="002D569F">
      <w:r>
        <w:separator/>
      </w:r>
    </w:p>
  </w:endnote>
  <w:endnote w:type="continuationSeparator" w:id="0">
    <w:p w14:paraId="62FA51A1" w14:textId="77777777" w:rsidR="002D569F" w:rsidRDefault="002D56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F84967" w14:textId="77777777" w:rsidR="002D569F" w:rsidRDefault="002D569F">
      <w:r>
        <w:separator/>
      </w:r>
    </w:p>
  </w:footnote>
  <w:footnote w:type="continuationSeparator" w:id="0">
    <w:p w14:paraId="6ABBEF23" w14:textId="77777777" w:rsidR="002D569F" w:rsidRDefault="002D56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77DEB" w14:textId="77777777" w:rsidR="002B1B9F" w:rsidRPr="008F582A" w:rsidRDefault="00000000" w:rsidP="008F582A">
    <w:pPr>
      <w:pBdr>
        <w:bottom w:val="single" w:sz="4" w:space="1" w:color="auto"/>
      </w:pBdr>
      <w:rPr>
        <w:color w:val="747474" w:themeColor="background2" w:themeShade="80"/>
        <w:sz w:val="18"/>
        <w:szCs w:val="18"/>
      </w:rPr>
    </w:pPr>
    <w:r w:rsidRPr="008F582A">
      <w:rPr>
        <w:color w:val="747474" w:themeColor="background2" w:themeShade="80"/>
        <w:sz w:val="18"/>
        <w:szCs w:val="18"/>
      </w:rPr>
      <w:t xml:space="preserve">Proyecto PAC · Tesis de Maestría        </w:t>
    </w:r>
    <w:r w:rsidRPr="008F582A">
      <w:rPr>
        <w:i/>
        <w:iCs/>
        <w:color w:val="747474" w:themeColor="background2" w:themeShade="80"/>
        <w:sz w:val="18"/>
        <w:szCs w:val="18"/>
      </w:rPr>
      <w:t xml:space="preserve">Capítulo 6 — Modelado Predictivo </w:t>
    </w:r>
    <w:r w:rsidRPr="008F582A">
      <w:rPr>
        <w:color w:val="747474" w:themeColor="background2" w:themeShade="80"/>
        <w:sz w:val="18"/>
        <w:szCs w:val="18"/>
      </w:rPr>
      <w:t>(versión resumida v</w:t>
    </w:r>
    <w:r w:rsidR="00573786">
      <w:rPr>
        <w:color w:val="747474" w:themeColor="background2" w:themeShade="80"/>
        <w:sz w:val="18"/>
        <w:szCs w:val="18"/>
      </w:rPr>
      <w:t>8</w:t>
    </w:r>
    <w:r w:rsidRPr="008F582A">
      <w:rPr>
        <w:color w:val="747474" w:themeColor="background2" w:themeShade="80"/>
        <w:sz w:val="18"/>
        <w:szCs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D5BBB"/>
    <w:multiLevelType w:val="hybridMultilevel"/>
    <w:tmpl w:val="E048B782"/>
    <w:lvl w:ilvl="0" w:tplc="7B30708E">
      <w:start w:val="1"/>
      <w:numFmt w:val="bullet"/>
      <w:lvlText w:val="●"/>
      <w:lvlJc w:val="left"/>
      <w:pPr>
        <w:ind w:left="720" w:hanging="360"/>
      </w:pPr>
    </w:lvl>
    <w:lvl w:ilvl="1" w:tplc="853A8C98">
      <w:start w:val="1"/>
      <w:numFmt w:val="bullet"/>
      <w:lvlText w:val="○"/>
      <w:lvlJc w:val="left"/>
      <w:pPr>
        <w:ind w:left="1440" w:hanging="360"/>
      </w:pPr>
    </w:lvl>
    <w:lvl w:ilvl="2" w:tplc="477E3B68">
      <w:start w:val="1"/>
      <w:numFmt w:val="bullet"/>
      <w:lvlText w:val="■"/>
      <w:lvlJc w:val="left"/>
      <w:pPr>
        <w:ind w:left="2160" w:hanging="360"/>
      </w:pPr>
    </w:lvl>
    <w:lvl w:ilvl="3" w:tplc="7ECCD978">
      <w:start w:val="1"/>
      <w:numFmt w:val="bullet"/>
      <w:lvlText w:val="●"/>
      <w:lvlJc w:val="left"/>
      <w:pPr>
        <w:ind w:left="2880" w:hanging="360"/>
      </w:pPr>
    </w:lvl>
    <w:lvl w:ilvl="4" w:tplc="940AF048">
      <w:start w:val="1"/>
      <w:numFmt w:val="bullet"/>
      <w:lvlText w:val="○"/>
      <w:lvlJc w:val="left"/>
      <w:pPr>
        <w:ind w:left="3600" w:hanging="360"/>
      </w:pPr>
    </w:lvl>
    <w:lvl w:ilvl="5" w:tplc="7C229FBA">
      <w:start w:val="1"/>
      <w:numFmt w:val="bullet"/>
      <w:lvlText w:val="■"/>
      <w:lvlJc w:val="left"/>
      <w:pPr>
        <w:ind w:left="4320" w:hanging="360"/>
      </w:pPr>
    </w:lvl>
    <w:lvl w:ilvl="6" w:tplc="2A38F96E">
      <w:start w:val="1"/>
      <w:numFmt w:val="bullet"/>
      <w:lvlText w:val="●"/>
      <w:lvlJc w:val="left"/>
      <w:pPr>
        <w:ind w:left="5040" w:hanging="360"/>
      </w:pPr>
    </w:lvl>
    <w:lvl w:ilvl="7" w:tplc="A5622972">
      <w:start w:val="1"/>
      <w:numFmt w:val="bullet"/>
      <w:lvlText w:val="●"/>
      <w:lvlJc w:val="left"/>
      <w:pPr>
        <w:ind w:left="5760" w:hanging="360"/>
      </w:pPr>
    </w:lvl>
    <w:lvl w:ilvl="8" w:tplc="57805D26">
      <w:start w:val="1"/>
      <w:numFmt w:val="bullet"/>
      <w:lvlText w:val="●"/>
      <w:lvlJc w:val="left"/>
      <w:pPr>
        <w:ind w:left="6480" w:hanging="360"/>
      </w:pPr>
    </w:lvl>
  </w:abstractNum>
  <w:num w:numId="1" w16cid:durableId="15422806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87A"/>
    <w:rsid w:val="000370B1"/>
    <w:rsid w:val="00076435"/>
    <w:rsid w:val="00120EA2"/>
    <w:rsid w:val="00166285"/>
    <w:rsid w:val="001F7132"/>
    <w:rsid w:val="0021509E"/>
    <w:rsid w:val="00285D38"/>
    <w:rsid w:val="002B1B9F"/>
    <w:rsid w:val="002D569F"/>
    <w:rsid w:val="002F607E"/>
    <w:rsid w:val="002F7285"/>
    <w:rsid w:val="00386647"/>
    <w:rsid w:val="003A0B49"/>
    <w:rsid w:val="003A173E"/>
    <w:rsid w:val="00407470"/>
    <w:rsid w:val="0042185E"/>
    <w:rsid w:val="004774AE"/>
    <w:rsid w:val="004C3724"/>
    <w:rsid w:val="004F6C2C"/>
    <w:rsid w:val="00561E9A"/>
    <w:rsid w:val="00573786"/>
    <w:rsid w:val="005E7823"/>
    <w:rsid w:val="0066574C"/>
    <w:rsid w:val="006B067C"/>
    <w:rsid w:val="007115A3"/>
    <w:rsid w:val="00740724"/>
    <w:rsid w:val="0075335A"/>
    <w:rsid w:val="007B0DF7"/>
    <w:rsid w:val="007C078B"/>
    <w:rsid w:val="007D62B0"/>
    <w:rsid w:val="00833978"/>
    <w:rsid w:val="00876E61"/>
    <w:rsid w:val="009005C3"/>
    <w:rsid w:val="00980146"/>
    <w:rsid w:val="00A03C7F"/>
    <w:rsid w:val="00A10CEA"/>
    <w:rsid w:val="00A4213E"/>
    <w:rsid w:val="00A9687A"/>
    <w:rsid w:val="00AF13E8"/>
    <w:rsid w:val="00BA0B19"/>
    <w:rsid w:val="00C76BF5"/>
    <w:rsid w:val="00C96A54"/>
    <w:rsid w:val="00CA34F0"/>
    <w:rsid w:val="00CB29B7"/>
    <w:rsid w:val="00CC2EEF"/>
    <w:rsid w:val="00CC4DA3"/>
    <w:rsid w:val="00CD7DAA"/>
    <w:rsid w:val="00CE33FF"/>
    <w:rsid w:val="00D43F7C"/>
    <w:rsid w:val="00D54A6F"/>
    <w:rsid w:val="00D639C0"/>
    <w:rsid w:val="00D71786"/>
    <w:rsid w:val="00E67DFE"/>
    <w:rsid w:val="00E70F72"/>
    <w:rsid w:val="00E9554E"/>
    <w:rsid w:val="00EA2E08"/>
    <w:rsid w:val="00F02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B33400E"/>
  <w15:docId w15:val="{E2B8AE59-5EF7-8144-A389-3E74CA499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AR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2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D639C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bsolute">
    <w:name w:val="absolute"/>
    <w:basedOn w:val="Fuentedeprrafopredeter"/>
    <w:rsid w:val="00CC4DA3"/>
  </w:style>
  <w:style w:type="character" w:customStyle="1" w:styleId="inline-flex">
    <w:name w:val="inline-flex"/>
    <w:basedOn w:val="Fuentedeprrafopredeter"/>
    <w:rsid w:val="00CC4DA3"/>
  </w:style>
  <w:style w:type="character" w:customStyle="1" w:styleId="transition-all">
    <w:name w:val="transition-all"/>
    <w:basedOn w:val="Fuentedeprrafopredeter"/>
    <w:rsid w:val="00CC4DA3"/>
  </w:style>
  <w:style w:type="paragraph" w:customStyle="1" w:styleId="font-claude-response-body">
    <w:name w:val="font-claude-response-body"/>
    <w:basedOn w:val="Normal"/>
    <w:rsid w:val="00CC4DA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nfasis">
    <w:name w:val="Emphasis"/>
    <w:basedOn w:val="Fuentedeprrafopredeter"/>
    <w:uiPriority w:val="20"/>
    <w:qFormat/>
    <w:rsid w:val="002F7285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57378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73786"/>
  </w:style>
  <w:style w:type="paragraph" w:styleId="Piedepgina">
    <w:name w:val="footer"/>
    <w:basedOn w:val="Normal"/>
    <w:link w:val="PiedepginaCar"/>
    <w:uiPriority w:val="99"/>
    <w:unhideWhenUsed/>
    <w:rsid w:val="0057378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73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12</Pages>
  <Words>3111</Words>
  <Characters>16366</Characters>
  <Application>Microsoft Office Word</Application>
  <DocSecurity>0</DocSecurity>
  <Lines>454</Lines>
  <Paragraphs>290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Roberto Inza</cp:lastModifiedBy>
  <cp:revision>37</cp:revision>
  <dcterms:created xsi:type="dcterms:W3CDTF">2026-06-02T18:49:00Z</dcterms:created>
  <dcterms:modified xsi:type="dcterms:W3CDTF">2026-06-05T16:04:00Z</dcterms:modified>
</cp:coreProperties>
</file>