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C9D4C" w14:textId="77777777" w:rsidR="00A9687A" w:rsidRPr="00D639C0" w:rsidRDefault="00000000" w:rsidP="00D639C0">
      <w:pPr>
        <w:spacing w:after="80"/>
        <w:rPr>
          <w:color w:val="747474" w:themeColor="background2" w:themeShade="80"/>
          <w:sz w:val="20"/>
          <w:szCs w:val="20"/>
        </w:rPr>
      </w:pPr>
      <w:r>
        <w:rPr>
          <w:b/>
          <w:bCs/>
          <w:color w:val="747474" w:themeColor="background2" w:themeShade="80"/>
          <w:sz w:val="20"/>
          <w:szCs w:val="20"/>
        </w:rPr>
        <w:t>CAPÍTULO 6</w:t>
      </w:r>
    </w:p>
    <w:p w14:paraId="58DB5223" w14:textId="77777777" w:rsidR="00A9687A" w:rsidRPr="00D639C0" w:rsidRDefault="00000000" w:rsidP="00D639C0">
      <w:pPr>
        <w:spacing w:after="80"/>
        <w:rPr>
          <w:color w:val="002060"/>
          <w:sz w:val="36"/>
          <w:szCs w:val="36"/>
        </w:rPr>
      </w:pPr>
      <w:r>
        <w:rPr>
          <w:b/>
          <w:bCs/>
          <w:color w:val="002060"/>
          <w:sz w:val="36"/>
          <w:szCs w:val="36"/>
        </w:rPr>
        <w:t>Modelado Predictivo Basado en PAC: Acoplamiento, Severidad y Riesgo Fisiológico Nocturno</w:t>
      </w:r>
    </w:p>
    <w:p w14:paraId="70EAE746" w14:textId="77777777" w:rsidR="00A9687A" w:rsidRPr="00D639C0" w:rsidRDefault="00000000" w:rsidP="00D639C0">
      <w:pPr>
        <w:spacing w:after="400"/>
        <w:rPr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Versión 9  ·  Junio 2026</w:t>
      </w:r>
    </w:p>
    <w:p w14:paraId="7EB74B1B" w14:textId="77777777" w:rsidR="00A9687A" w:rsidRPr="00D639C0" w:rsidRDefault="00000000" w:rsidP="00D639C0">
      <w:pPr>
        <w:pStyle w:val="Ttulo2"/>
        <w:spacing w:line="360" w:lineRule="auto"/>
        <w:rPr>
          <w:rFonts w:asciiTheme="minorHAnsi" w:hAnsiTheme="minorHAnsi"/>
          <w:color w:val="002060"/>
        </w:rPr>
      </w:pPr>
      <w:r>
        <w:rPr>
          <w:rFonts w:asciiTheme="minorHAnsi" w:hAnsiTheme="minorHAnsi"/>
          <w:color w:val="002060"/>
        </w:rPr>
        <w:t>6.1  Contexto, corpus y diseño analítico</w:t>
      </w:r>
    </w:p>
    <w:p w14:paraId="58C9538D" w14:textId="77777777" w:rsidR="00386647" w:rsidRDefault="00386647" w:rsidP="00386647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Este capítulo construye sobre las representaciones PAC de Cap04 y Cap05 el arco predictivo del proyecto: desde la cuantificación del acoplamiento entre morfotipos y estados hasta la síntesis en el Risk Score PAC (0–100), un índice de caracterización dinámica retrospectiva. El análisis se organiza en: acoplamiento y dinámica nocturna (§6.2–6.5), modelos predictivos LOPO-CV (§6.6–6.8) y Risk Score PAC (§6.9). La Fig. 6.1 ilustra la arquitectura escalonada y la Tabla 6.1 sintetiza el diseño analítico.</w:t>
      </w:r>
    </w:p>
    <w:p w14:paraId="3E973518" w14:textId="77777777" w:rsidR="00CE33FF" w:rsidRDefault="00CE33FF" w:rsidP="00CE33FF">
      <w:pPr>
        <w:spacing w:before="300" w:after="60"/>
      </w:pPr>
      <w:r>
        <w:rPr>
          <w:rFonts w:asciiTheme="minorHAnsi" w:hAnsiTheme="minorHAnsi"/>
          <w:b/>
          <w:bCs/>
          <w:sz w:val="20"/>
          <w:szCs w:val="20"/>
        </w:rPr>
        <w:t>Figura 6.1. Arquitectura escalonada del modelado PAC.</w:t>
      </w:r>
    </w:p>
    <w:p w14:paraId="49DCB0A3" w14:textId="77777777" w:rsidR="00CE33FF" w:rsidRDefault="00CE33FF" w:rsidP="00CE33FF">
      <w:pPr>
        <w:spacing w:after="80"/>
        <w:jc w:val="center"/>
      </w:pPr>
      <w:r>
        <w:rPr>
          <w:noProof/>
        </w:rPr>
        <w:drawing>
          <wp:inline distT="0" distB="0" distL="0" distR="0" wp14:anchorId="49D8524F" wp14:editId="0ADA78AB">
            <wp:extent cx="5200000" cy="2000000"/>
            <wp:effectExtent l="0" t="0" r="0" b="0"/>
            <wp:docPr id="40" name="cap06_concepto_escalera.png" descr="Figura 6.1. Arquitectura escalonada del modelado PAC." title="Figura 6.1. Arquitectura escalonada del modelado PA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000" cy="2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12BAA" w14:textId="77777777" w:rsidR="00CE33FF" w:rsidRPr="00CE33FF" w:rsidRDefault="00CE33FF" w:rsidP="00CE33FF">
      <w:pPr>
        <w:spacing w:after="200"/>
        <w:jc w:val="both"/>
      </w:pPr>
      <w:r>
        <w:rPr>
          <w:rFonts w:asciiTheme="minorHAnsi" w:hAnsiTheme="minorHAnsi"/>
          <w:i/>
          <w:iCs/>
          <w:sz w:val="18"/>
          <w:szCs w:val="18"/>
        </w:rPr>
        <w:t>Nota. Cada nivel añade una dimensión analítica que el anterior no capturaba: del evento individual (morfotipo + ARI) al contexto dinámico nocturno (PAC States) y finalmente a la predicción y síntesis en el Risk Score PAC. LOPO-CV: leave-one-patient-out cross-validation.</w:t>
      </w:r>
    </w:p>
    <w:p w14:paraId="3AA4F96A" w14:textId="77777777" w:rsidR="00386647" w:rsidRPr="00386647" w:rsidRDefault="00386647" w:rsidP="00386647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Los resultados deben interpretarse como generadores de hipótesis; los índices ad hoc (Coupling Index, Risk Score PAC) requieren confirmación en cohortes independientes.</w:t>
      </w:r>
    </w:p>
    <w:p w14:paraId="66013D7C" w14:textId="77777777" w:rsidR="00A9687A" w:rsidRPr="00D639C0" w:rsidRDefault="00000000" w:rsidP="00D639C0">
      <w:pPr>
        <w:spacing w:before="200" w:after="60" w:line="360" w:lineRule="auto"/>
        <w:rPr>
          <w:rFonts w:asciiTheme="minorHAnsi" w:hAnsiTheme="minorHAnsi"/>
        </w:rPr>
      </w:pPr>
      <w:r>
        <w:rPr>
          <w:rFonts w:asciiTheme="minorHAnsi" w:hAnsiTheme="minorHAnsi"/>
          <w:b/>
          <w:bCs/>
          <w:sz w:val="20"/>
          <w:szCs w:val="20"/>
        </w:rPr>
        <w:t>Tabla 6.1. Resumen del diseño predictivo del Capítulo 6.</w:t>
      </w:r>
    </w:p>
    <w:p w14:paraId="58A0A00D" w14:textId="77777777" w:rsidR="00A9687A" w:rsidRPr="00D639C0" w:rsidRDefault="00000000" w:rsidP="00AF13E8">
      <w:pPr>
        <w:spacing w:before="240" w:after="100"/>
        <w:jc w:val="both"/>
        <w:rPr>
          <w:rFonts w:asciiTheme="minorHAnsi" w:hAnsiTheme="minorHAnsi"/>
        </w:rPr>
      </w:pPr>
      <w:r>
        <w:rPr>
          <w:rFonts w:asciiTheme="minorHAnsi" w:hAnsiTheme="minorHAnsi"/>
          <w:i/>
          <w:iCs/>
          <w:sz w:val="20"/>
          <w:szCs w:val="20"/>
        </w:rPr>
        <w:t>Nota. LOPO-CV: leave-one-patient-out cross-validation; n efectivo = 8 pacientes. El análisis de acoplamiento opera sobre la cohorte completa (12 pac., 83.892 eventos). Los modelos predictivos operan sobre la cohorte estricta (8 pac., 540 noches).</w:t>
      </w:r>
    </w:p>
    <w:p w14:paraId="2529030B" w14:textId="77777777" w:rsidR="00A9687A" w:rsidRPr="00D639C0" w:rsidRDefault="00000000" w:rsidP="00D639C0">
      <w:pPr>
        <w:pStyle w:val="Ttulo2"/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6.2  Acoplamiento morfotipo–estado PAC</w:t>
      </w:r>
    </w:p>
    <w:p w14:paraId="31667B30" w14:textId="2BF124C3" w:rsidR="00CC4DA3" w:rsidRPr="00CC4DA3" w:rsidRDefault="00CC4DA3" w:rsidP="00CC4DA3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La asociación entre morfotipos y estados PAC es real en las tres escalas y decrece al ampliar la ventana temporal: V de Cramér = 0,355 (S), 0,229 (M) y 0,194 (L) sobre 83.892 eventos. El riesgo relativo de evento severo —prevalencia base 5,97 %— alcanza hasta 4,7× en estados patológicos y cae por debajo del 2 % en estados protectores (Figs. 6.</w:t>
      </w:r>
      <w:r w:rsidR="00EB0EA1">
        <w:rPr>
          <w:rFonts w:asciiTheme="minorHAnsi" w:hAnsiTheme="minorHAnsi"/>
        </w:rPr>
        <w:t>2</w:t>
      </w:r>
      <w:r>
        <w:rPr>
          <w:rFonts w:asciiTheme="minorHAnsi" w:hAnsiTheme="minorHAnsi"/>
        </w:rPr>
        <w:t xml:space="preserve"> y 6.3).</w:t>
      </w:r>
    </w:p>
    <w:p w14:paraId="4390B123" w14:textId="77777777" w:rsidR="00A9687A" w:rsidRPr="00D639C0" w:rsidRDefault="00000000" w:rsidP="00D639C0">
      <w:pPr>
        <w:spacing w:after="1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  <w:i/>
          <w:iCs/>
          <w:sz w:val="20"/>
          <w:szCs w:val="20"/>
        </w:rPr>
        <w:t>Nota. RR = P(severo | estado) / P(severo) marginal. P(severo) marginal = 5,97 % (5.011 eventos C4+C5 / 83.892 totales).</w:t>
      </w:r>
    </w:p>
    <w:p w14:paraId="20E8573F" w14:textId="17B204AD" w:rsidR="00C96A54" w:rsidRPr="00EB0EA1" w:rsidRDefault="00000000">
      <w:pPr>
        <w:spacing w:before="300" w:after="60"/>
        <w:rPr>
          <w:rFonts w:asciiTheme="minorHAnsi" w:hAnsiTheme="minorHAnsi"/>
          <w:b/>
          <w:bCs/>
          <w:sz w:val="20"/>
          <w:szCs w:val="20"/>
        </w:rPr>
      </w:pPr>
      <w:r w:rsidRPr="00EB0EA1">
        <w:rPr>
          <w:rFonts w:asciiTheme="minorHAnsi" w:hAnsiTheme="minorHAnsi"/>
          <w:b/>
          <w:bCs/>
          <w:sz w:val="20"/>
          <w:szCs w:val="20"/>
        </w:rPr>
        <w:t>Figura 6.</w:t>
      </w:r>
      <w:r w:rsidR="00EB0EA1" w:rsidRPr="00EB0EA1">
        <w:rPr>
          <w:rFonts w:asciiTheme="minorHAnsi" w:hAnsiTheme="minorHAnsi"/>
          <w:b/>
          <w:bCs/>
          <w:sz w:val="20"/>
          <w:szCs w:val="20"/>
        </w:rPr>
        <w:t>2</w:t>
      </w:r>
      <w:r w:rsidRPr="00EB0EA1">
        <w:rPr>
          <w:rFonts w:asciiTheme="minorHAnsi" w:hAnsiTheme="minorHAnsi"/>
          <w:b/>
          <w:bCs/>
          <w:sz w:val="20"/>
          <w:szCs w:val="20"/>
        </w:rPr>
        <w:t>. Riesgo relativo (RR) de evento severo por estado PAC en las tres escalas.</w:t>
      </w:r>
    </w:p>
    <w:p w14:paraId="0C67C2F6" w14:textId="77777777" w:rsidR="009C49D7" w:rsidRDefault="00000000">
      <w:pPr>
        <w:jc w:val="center"/>
      </w:pPr>
      <w:r>
        <w:rPr>
          <w:noProof/>
        </w:rPr>
        <w:drawing>
          <wp:inline distT="0" distB="0" distL="0" distR="0" wp14:anchorId="5280922E" wp14:editId="2974E014">
            <wp:extent cx="5943600" cy="1739704"/>
            <wp:effectExtent l="0" t="0" r="0" b="0"/>
            <wp:docPr id="200" name="fig6_6_3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fig6_6_3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F1E41" w14:textId="77777777" w:rsidR="00C96A54" w:rsidRPr="00453E6B" w:rsidRDefault="00000000">
      <w:pPr>
        <w:spacing w:after="200"/>
        <w:jc w:val="both"/>
        <w:rPr>
          <w:rFonts w:asciiTheme="minorHAnsi" w:hAnsiTheme="minorHAnsi"/>
          <w:i/>
          <w:iCs/>
          <w:color w:val="747474" w:themeColor="background2" w:themeShade="80"/>
          <w:sz w:val="18"/>
          <w:szCs w:val="18"/>
        </w:rPr>
      </w:pPr>
      <w:r w:rsidRPr="00453E6B">
        <w:rPr>
          <w:rFonts w:asciiTheme="minorHAnsi" w:hAnsiTheme="minorHAnsi"/>
          <w:i/>
          <w:iCs/>
          <w:color w:val="747474" w:themeColor="background2" w:themeShade="80"/>
          <w:sz w:val="18"/>
          <w:szCs w:val="18"/>
        </w:rPr>
        <w:t xml:space="preserve">Nota. Los estados patológicos S6, M1 y L0 presentan los RR más elevados (4,70×, 3,29× y 1,98×). La magnitud del RR decrece con la escala temporal. P(severo) marginal = 5,97 %. Origen: NB05, §2. </w:t>
      </w:r>
      <w:r w:rsidRPr="00453E6B">
        <w:rPr>
          <w:rFonts w:ascii="Segoe UI Symbol" w:hAnsi="Segoe UI Symbol" w:cs="Segoe UI Symbol"/>
          <w:i/>
          <w:iCs/>
          <w:color w:val="747474" w:themeColor="background2" w:themeShade="80"/>
          <w:sz w:val="18"/>
          <w:szCs w:val="18"/>
        </w:rPr>
        <w:t>⚑</w:t>
      </w:r>
      <w:r w:rsidRPr="00453E6B">
        <w:rPr>
          <w:rFonts w:asciiTheme="minorHAnsi" w:hAnsiTheme="minorHAnsi"/>
          <w:i/>
          <w:iCs/>
          <w:color w:val="747474" w:themeColor="background2" w:themeShade="80"/>
          <w:sz w:val="18"/>
          <w:szCs w:val="18"/>
        </w:rPr>
        <w:t xml:space="preserve"> Prioridad media.</w:t>
      </w:r>
    </w:p>
    <w:p w14:paraId="702850A4" w14:textId="634608EC" w:rsidR="00C96A54" w:rsidRPr="00EB0EA1" w:rsidRDefault="00000000">
      <w:pPr>
        <w:spacing w:before="300" w:after="60"/>
        <w:rPr>
          <w:rFonts w:asciiTheme="minorHAnsi" w:hAnsiTheme="minorHAnsi"/>
          <w:b/>
          <w:bCs/>
          <w:sz w:val="20"/>
          <w:szCs w:val="20"/>
        </w:rPr>
      </w:pPr>
      <w:r w:rsidRPr="00EB0EA1">
        <w:rPr>
          <w:rFonts w:asciiTheme="minorHAnsi" w:hAnsiTheme="minorHAnsi"/>
          <w:b/>
          <w:bCs/>
          <w:sz w:val="20"/>
          <w:szCs w:val="20"/>
        </w:rPr>
        <w:t>Figura 6.3</w:t>
      </w:r>
      <w:r w:rsidR="00EB0EA1" w:rsidRPr="00EB0EA1">
        <w:rPr>
          <w:rFonts w:asciiTheme="minorHAnsi" w:hAnsiTheme="minorHAnsi"/>
          <w:b/>
          <w:bCs/>
          <w:sz w:val="20"/>
          <w:szCs w:val="20"/>
        </w:rPr>
        <w:t>c</w:t>
      </w:r>
      <w:r w:rsidRPr="00EB0EA1">
        <w:rPr>
          <w:rFonts w:asciiTheme="minorHAnsi" w:hAnsiTheme="minorHAnsi"/>
          <w:b/>
          <w:bCs/>
          <w:sz w:val="20"/>
          <w:szCs w:val="20"/>
        </w:rPr>
        <w:t>. Acoplamiento morfotipo–estado PAC (escala M): esquema conceptual.</w:t>
      </w:r>
    </w:p>
    <w:p w14:paraId="55AAAA26" w14:textId="77777777" w:rsidR="009C49D7" w:rsidRDefault="00000000">
      <w:pPr>
        <w:jc w:val="center"/>
      </w:pPr>
      <w:r>
        <w:rPr>
          <w:noProof/>
        </w:rPr>
        <w:drawing>
          <wp:inline distT="0" distB="0" distL="0" distR="0" wp14:anchorId="03C5324A" wp14:editId="6F7DE78C">
            <wp:extent cx="4813300" cy="2653486"/>
            <wp:effectExtent l="0" t="0" r="0" b="1270"/>
            <wp:docPr id="280460478" name="fig6_6_3c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fig6_6_3c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6365" cy="266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E5657" w14:textId="77777777" w:rsidR="00C96A54" w:rsidRPr="00453E6B" w:rsidRDefault="00000000">
      <w:pPr>
        <w:spacing w:after="200"/>
        <w:jc w:val="both"/>
        <w:rPr>
          <w:rFonts w:asciiTheme="minorHAnsi" w:hAnsiTheme="minorHAnsi"/>
          <w:i/>
          <w:iCs/>
          <w:color w:val="747474" w:themeColor="background2" w:themeShade="80"/>
          <w:sz w:val="18"/>
          <w:szCs w:val="18"/>
        </w:rPr>
      </w:pPr>
      <w:r w:rsidRPr="00453E6B">
        <w:rPr>
          <w:rFonts w:asciiTheme="minorHAnsi" w:hAnsiTheme="minorHAnsi"/>
          <w:i/>
          <w:iCs/>
          <w:color w:val="747474" w:themeColor="background2" w:themeShade="80"/>
          <w:sz w:val="18"/>
          <w:szCs w:val="18"/>
        </w:rPr>
        <w:t xml:space="preserve">Nota. El estado fisiológico activo en los 5 min previos predice la morfología de la caída de SpO₂. P(severo | M0) &lt; 2 %; P(severo | M1) ~ 19,6 %. V de Cramér escala M = 0,231. </w:t>
      </w:r>
      <w:r w:rsidRPr="00453E6B">
        <w:rPr>
          <w:rFonts w:ascii="Segoe UI Symbol" w:hAnsi="Segoe UI Symbol" w:cs="Segoe UI Symbol"/>
          <w:i/>
          <w:iCs/>
          <w:color w:val="747474" w:themeColor="background2" w:themeShade="80"/>
          <w:sz w:val="18"/>
          <w:szCs w:val="18"/>
        </w:rPr>
        <w:t>⚑</w:t>
      </w:r>
      <w:r w:rsidRPr="00453E6B">
        <w:rPr>
          <w:rFonts w:asciiTheme="minorHAnsi" w:hAnsiTheme="minorHAnsi"/>
          <w:i/>
          <w:iCs/>
          <w:color w:val="747474" w:themeColor="background2" w:themeShade="80"/>
          <w:sz w:val="18"/>
          <w:szCs w:val="18"/>
        </w:rPr>
        <w:t xml:space="preserve"> Prioridad alta.</w:t>
      </w:r>
    </w:p>
    <w:p w14:paraId="4B52F59C" w14:textId="77777777" w:rsidR="00A9687A" w:rsidRPr="00D639C0" w:rsidRDefault="00000000" w:rsidP="00D639C0">
      <w:pPr>
        <w:spacing w:before="80" w:after="160" w:line="360" w:lineRule="auto"/>
        <w:rPr>
          <w:rFonts w:asciiTheme="minorHAnsi" w:hAnsiTheme="minorHAnsi"/>
        </w:rPr>
      </w:pPr>
      <w:r>
        <w:rPr>
          <w:rFonts w:ascii="Segoe UI Symbol" w:hAnsi="Segoe UI Symbol" w:cs="Segoe UI Symbol"/>
          <w:i/>
          <w:iCs/>
          <w:color w:val="555555"/>
          <w:sz w:val="20"/>
          <w:szCs w:val="20"/>
        </w:rPr>
        <w:lastRenderedPageBreak/>
        <w:t>▸</w:t>
      </w:r>
      <w:r>
        <w:rPr>
          <w:rFonts w:asciiTheme="minorHAnsi" w:hAnsiTheme="minorHAnsi"/>
          <w:i/>
          <w:iCs/>
          <w:color w:val="555555"/>
          <w:sz w:val="20"/>
          <w:szCs w:val="20"/>
        </w:rPr>
        <w:t xml:space="preserve"> Figuras complementarias en Anexo: Fig. 6.2 (distribución condicional P(morfotipo|estado)).</w:t>
      </w:r>
    </w:p>
    <w:p w14:paraId="48A54FBE" w14:textId="77777777" w:rsidR="00A9687A" w:rsidRPr="00D639C0" w:rsidRDefault="00000000" w:rsidP="00D639C0">
      <w:pPr>
        <w:pStyle w:val="Ttulo2"/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>6.3  Coupling Index</w:t>
      </w:r>
    </w:p>
    <w:p w14:paraId="08F0FF59" w14:textId="77777777" w:rsidR="002F607E" w:rsidRPr="002F607E" w:rsidRDefault="002F607E" w:rsidP="002F607E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El coupling index (CI) es la fracción de eventos severos de cada noche que ocurrió dentro de un estado PAC patológico, calculado en las tres escalas (ci_s, ci_m, ci_l). A diferencia del ODI3, el CI captura el contexto dinámico en que ocurrieron los eventos, no solo su frecuencia (Fig. 6.5c).</w:t>
      </w:r>
    </w:p>
    <w:p w14:paraId="2080AC36" w14:textId="77777777" w:rsidR="002F607E" w:rsidRPr="002F607E" w:rsidRDefault="002F607E" w:rsidP="002F607E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ci_s y ci_m son prácticamente independientes (r = 0,066): la concentración en estados patológicos de 30 s no predice el comportamiento en ventanas de 5 min. La correlación moderada ci_m/ci_l (r = 0,291) refleja mayor solapamiento temporal entre escalas contiguas. Esta independencia justifica el uso combinado de las tres métricas sin riesgo de multicolinealidad.</w:t>
      </w:r>
    </w:p>
    <w:p w14:paraId="035B53E9" w14:textId="77777777" w:rsidR="00A9687A" w:rsidRPr="00D639C0" w:rsidRDefault="00000000" w:rsidP="00D639C0">
      <w:pPr>
        <w:spacing w:before="200" w:after="60" w:line="360" w:lineRule="auto"/>
        <w:rPr>
          <w:rFonts w:asciiTheme="minorHAnsi" w:hAnsiTheme="minorHAnsi"/>
        </w:rPr>
      </w:pPr>
      <w:r>
        <w:rPr>
          <w:rFonts w:asciiTheme="minorHAnsi" w:hAnsiTheme="minorHAnsi"/>
          <w:b/>
          <w:bCs/>
          <w:sz w:val="20"/>
          <w:szCs w:val="20"/>
        </w:rPr>
        <w:t>Tabla 6.3. Definición operativa del Coupling Index por escala temporal.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200"/>
        <w:gridCol w:w="1800"/>
        <w:gridCol w:w="2100"/>
        <w:gridCol w:w="2500"/>
      </w:tblGrid>
      <w:tr w:rsidR="00A9687A" w:rsidRPr="00D639C0" w14:paraId="6FD4D400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EBF46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Escala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CD206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Ventana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1F1BE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Estados patológicos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3DD64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Correlación cruzada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11739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Interpretación fisiológica</w:t>
            </w:r>
          </w:p>
        </w:tc>
      </w:tr>
      <w:tr w:rsidR="00A9687A" w:rsidRPr="00D639C0" w14:paraId="4EB93E7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5EC39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 (30 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43A05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30 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2C090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S2, S4, S6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2199F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—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DC347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Acoplamiento en microdinámica evento a evento</w:t>
            </w:r>
          </w:p>
        </w:tc>
      </w:tr>
      <w:tr w:rsidR="00A9687A" w:rsidRPr="00D639C0" w14:paraId="30DBBE5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DC2CE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M (5 min)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72A6F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5 min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3B6BF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M1, M3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68FBB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r(ci_s, ci_m) = 0,066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4EAAD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Acoplamiento en regulación intermedia</w:t>
            </w:r>
          </w:p>
        </w:tc>
      </w:tr>
      <w:tr w:rsidR="00A9687A" w:rsidRPr="00D639C0" w14:paraId="31E55C5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22B74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L (30 min)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9FA27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30 min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E6B21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L0, L1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0BD56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r(ci_m, ci_l) = 0,291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C58BE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Acoplamiento en arquitectura nocturna global</w:t>
            </w:r>
          </w:p>
        </w:tc>
      </w:tr>
    </w:tbl>
    <w:p w14:paraId="471393D3" w14:textId="77777777" w:rsidR="00A9687A" w:rsidRPr="00D639C0" w:rsidRDefault="00000000" w:rsidP="00D639C0">
      <w:pPr>
        <w:spacing w:after="1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  <w:i/>
          <w:iCs/>
          <w:sz w:val="20"/>
          <w:szCs w:val="20"/>
        </w:rPr>
        <w:t>Nota. Estados patológicos definidos como los estados cuya tasa de eventos C4+C5 supera la mediana del corpus.</w:t>
      </w:r>
    </w:p>
    <w:p w14:paraId="551ADDEB" w14:textId="77777777" w:rsidR="00C96A54" w:rsidRDefault="00000000">
      <w:pPr>
        <w:spacing w:before="300" w:after="60"/>
      </w:pPr>
      <w:r>
        <w:t>Figura 6.5c. Dos noches con ODI3 = 14 ev/h y Coupling Index opuesto (0,12 vs. 0,75).</w:t>
      </w:r>
    </w:p>
    <w:p w14:paraId="02C0592A" w14:textId="77777777" w:rsidR="009C49D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5F4AE06" wp14:editId="26C4EEAD">
            <wp:extent cx="5943600" cy="2580277"/>
            <wp:effectExtent l="0" t="0" r="0" b="0"/>
            <wp:docPr id="2052575251" name="fig6_6_5c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fig6_6_5c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95D1A" w14:textId="77777777" w:rsidR="00C96A54" w:rsidRDefault="00000000">
      <w:pPr>
        <w:spacing w:after="200"/>
        <w:jc w:val="both"/>
      </w:pPr>
      <w:r>
        <w:t>Nota. La distribución de eventos en zonas protectoras (verde) o patológicas (rojo) determina el CI. El ODI3 no distingue estos perfiles; el CI sí. Valores ilustrativos consistentes con el corpus (NB05 §3). ⚑ Prioridad alta.</w:t>
      </w:r>
    </w:p>
    <w:p w14:paraId="55E574CE" w14:textId="77777777" w:rsidR="00A9687A" w:rsidRPr="00D639C0" w:rsidRDefault="00000000" w:rsidP="00D639C0">
      <w:pPr>
        <w:spacing w:before="80" w:after="160" w:line="360" w:lineRule="auto"/>
        <w:rPr>
          <w:rFonts w:asciiTheme="minorHAnsi" w:hAnsiTheme="minorHAnsi"/>
        </w:rPr>
      </w:pPr>
      <w:r>
        <w:rPr>
          <w:rFonts w:ascii="Segoe UI Symbol" w:hAnsi="Segoe UI Symbol" w:cs="Segoe UI Symbol"/>
          <w:i/>
          <w:iCs/>
          <w:color w:val="555555"/>
          <w:sz w:val="20"/>
          <w:szCs w:val="20"/>
        </w:rPr>
        <w:t>▸</w:t>
      </w:r>
      <w:r>
        <w:rPr>
          <w:rFonts w:asciiTheme="minorHAnsi" w:hAnsiTheme="minorHAnsi"/>
          <w:i/>
          <w:iCs/>
          <w:color w:val="555555"/>
          <w:sz w:val="20"/>
          <w:szCs w:val="20"/>
        </w:rPr>
        <w:t xml:space="preserve"> Figuras complementarias en Anexo: Fig. 6.4 (coupling index por escala).</w:t>
      </w:r>
    </w:p>
    <w:p w14:paraId="5EBEE2D1" w14:textId="77777777" w:rsidR="00A9687A" w:rsidRPr="00D639C0" w:rsidRDefault="00000000" w:rsidP="00D639C0">
      <w:pPr>
        <w:pStyle w:val="Ttulo2"/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>6.4  Resiliencia fisiológica y dinámica Markoviana</w:t>
      </w:r>
    </w:p>
    <w:p w14:paraId="5C105FEA" w14:textId="77777777" w:rsidR="00CB29B7" w:rsidRDefault="00876E61" w:rsidP="00D639C0">
      <w:pPr>
        <w:spacing w:after="200" w:line="360" w:lineRule="auto"/>
        <w:jc w:val="both"/>
      </w:pPr>
      <w:r>
        <w:rPr>
          <w:rFonts w:asciiTheme="minorHAnsi" w:hAnsiTheme="minorHAnsi"/>
        </w:rPr>
        <w:t>Tras un evento severo, la probabilidad de permanecer en estado patológico cae con la escala: 43,3 % a los 30 s, 12,3 % a los 5 min y 1,3 % a los 30 min (Fig. 6.6c). La inercia creciente se explica por la dinámica Markoviana: M3 actúa como antesala de M1 —el estado de mayor inercia del sistema— configurando el corredor M0/M2 → M4 → M3 → M1 (Fig. 6.4c).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3"/>
        <w:gridCol w:w="1024"/>
        <w:gridCol w:w="2196"/>
        <w:gridCol w:w="2196"/>
        <w:gridCol w:w="2196"/>
      </w:tblGrid>
      <w:tr w:rsidR="00CA34F0" w:rsidRPr="00D639C0" w14:paraId="1C370E4B" w14:textId="77777777" w:rsidTr="00CA34F0">
        <w:trPr>
          <w:tblHeader/>
        </w:trPr>
        <w:tc>
          <w:tcPr>
            <w:tcW w:w="66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C74BD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Escala</w:t>
            </w:r>
          </w:p>
        </w:tc>
        <w:tc>
          <w:tcPr>
            <w:tcW w:w="58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7639B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Ventana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50F33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Resiliente (retorno a estado protector)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4BB7E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Colapsado (persiste en estado patológico)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6E49B1CE" w14:textId="77777777" w:rsidR="00CA34F0" w:rsidRPr="00D639C0" w:rsidRDefault="00CA34F0" w:rsidP="00CA34F0">
            <w:pPr>
              <w:spacing w:line="360" w:lineRule="auto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Intermedio / sin dato</w:t>
            </w:r>
          </w:p>
        </w:tc>
      </w:tr>
      <w:tr w:rsidR="00CA34F0" w:rsidRPr="00D639C0" w14:paraId="3B0277E7" w14:textId="77777777" w:rsidTr="00CA34F0">
        <w:tc>
          <w:tcPr>
            <w:tcW w:w="66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C20A7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 (30 s)</w:t>
            </w:r>
          </w:p>
        </w:tc>
        <w:tc>
          <w:tcPr>
            <w:tcW w:w="58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D4C22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30 s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E874D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43,3 %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94B60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40,2 %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FD5068" w14:textId="77777777" w:rsidR="00CA34F0" w:rsidRPr="00D639C0" w:rsidRDefault="00CA34F0" w:rsidP="0042185E">
            <w:pPr>
              <w:spacing w:line="360" w:lineRule="auto"/>
              <w:ind w:left="65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 16,5 %</w:t>
            </w:r>
          </w:p>
        </w:tc>
      </w:tr>
      <w:tr w:rsidR="00CA34F0" w:rsidRPr="00D639C0" w14:paraId="614AC8C1" w14:textId="77777777" w:rsidTr="00CA34F0">
        <w:tc>
          <w:tcPr>
            <w:tcW w:w="66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EB5C1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M (5 min)</w:t>
            </w:r>
          </w:p>
        </w:tc>
        <w:tc>
          <w:tcPr>
            <w:tcW w:w="58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F88F9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5 min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6ACD2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12,3 %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0D193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80,4 %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54D3B6" w14:textId="77777777" w:rsidR="00CA34F0" w:rsidRPr="00D639C0" w:rsidRDefault="00CA34F0" w:rsidP="0042185E">
            <w:pPr>
              <w:spacing w:line="360" w:lineRule="auto"/>
              <w:ind w:left="65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  7,3%</w:t>
            </w:r>
          </w:p>
        </w:tc>
      </w:tr>
      <w:tr w:rsidR="00CA34F0" w:rsidRPr="00D639C0" w14:paraId="110569C1" w14:textId="77777777" w:rsidTr="00CA34F0">
        <w:tc>
          <w:tcPr>
            <w:tcW w:w="66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47393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L (30 min)</w:t>
            </w:r>
          </w:p>
        </w:tc>
        <w:tc>
          <w:tcPr>
            <w:tcW w:w="58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2919C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30 min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90B40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1,3 %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18094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74,5 %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CE57A7" w14:textId="77777777" w:rsidR="00CA34F0" w:rsidRPr="00D639C0" w:rsidRDefault="00CA34F0" w:rsidP="0042185E">
            <w:pPr>
              <w:spacing w:line="360" w:lineRule="auto"/>
              <w:ind w:left="65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 24.2 %</w:t>
            </w:r>
          </w:p>
        </w:tc>
      </w:tr>
    </w:tbl>
    <w:p w14:paraId="17B6BA8D" w14:textId="77777777" w:rsidR="00CD7DAA" w:rsidRPr="00D639C0" w:rsidRDefault="00CD7DAA" w:rsidP="00CD7DAA">
      <w:pPr>
        <w:spacing w:after="1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  <w:i/>
          <w:iCs/>
          <w:sz w:val="20"/>
          <w:szCs w:val="20"/>
        </w:rPr>
        <w:t xml:space="preserve">Nota. Resiliente = siguiente ventana en estado protector. Colapsado = siguiente ventana en estado patológico. Diferencia al 100 %: estados intermedios o último evento de la noche. </w:t>
      </w:r>
    </w:p>
    <w:p w14:paraId="581F77DB" w14:textId="77777777" w:rsidR="00C96A54" w:rsidRDefault="00000000">
      <w:pPr>
        <w:spacing w:before="300" w:after="60"/>
      </w:pPr>
      <w:r>
        <w:t>Figura 6.6c. Dinámica peri-evento y resiliencia fisiológica: esquema conceptual.</w:t>
      </w:r>
    </w:p>
    <w:p w14:paraId="4A45F515" w14:textId="77777777" w:rsidR="009C49D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C053C29" wp14:editId="1FE1DE84">
            <wp:extent cx="5943600" cy="3276600"/>
            <wp:effectExtent l="0" t="0" r="0" b="0"/>
            <wp:docPr id="859710928" name="fig6_6_6c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fig6_6_6c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80F60" w14:textId="77777777" w:rsidR="00C96A54" w:rsidRDefault="00000000">
      <w:pPr>
        <w:spacing w:after="200"/>
        <w:jc w:val="both"/>
      </w:pPr>
      <w:r>
        <w:t>Nota. Probabilidad de permanecer en estado patológico tras evento severo (C4/C5): 43,3 % a los 30 s, 12,3 % a los 5 min, 1,3 % a los 30 min. Corpus: 560 noches (NB05 §4). ⚑ Prioridad alta.</w:t>
      </w:r>
    </w:p>
    <w:p w14:paraId="13D2D388" w14:textId="77777777" w:rsidR="00CD7DAA" w:rsidRPr="00CD7DAA" w:rsidRDefault="00CD7DAA" w:rsidP="00CD7DAA">
      <w:pPr>
        <w:spacing w:before="80" w:after="160" w:line="360" w:lineRule="auto"/>
        <w:rPr>
          <w:rFonts w:asciiTheme="minorHAnsi" w:hAnsiTheme="minorHAnsi"/>
        </w:rPr>
      </w:pPr>
      <w:r>
        <w:rPr>
          <w:rFonts w:ascii="Segoe UI Symbol" w:hAnsi="Segoe UI Symbol" w:cs="Segoe UI Symbol"/>
          <w:i/>
          <w:iCs/>
          <w:color w:val="555555"/>
          <w:sz w:val="20"/>
          <w:szCs w:val="20"/>
        </w:rPr>
        <w:t>▸</w:t>
      </w:r>
      <w:r>
        <w:rPr>
          <w:rFonts w:asciiTheme="minorHAnsi" w:hAnsiTheme="minorHAnsi"/>
          <w:i/>
          <w:iCs/>
          <w:color w:val="555555"/>
          <w:sz w:val="20"/>
          <w:szCs w:val="20"/>
        </w:rPr>
        <w:t xml:space="preserve"> Figura complementaria en Anexo: Fig. 6.6 (matrices de transición Markovianas por escala).</w:t>
      </w:r>
    </w:p>
    <w:p w14:paraId="1A09D36A" w14:textId="77777777" w:rsidR="007B0DF7" w:rsidRDefault="007B0DF7" w:rsidP="00D639C0">
      <w:pPr>
        <w:spacing w:before="200" w:after="60" w:line="360" w:lineRule="auto"/>
        <w:rPr>
          <w:rFonts w:asciiTheme="minorHAnsi" w:hAnsiTheme="minorHAnsi"/>
          <w:b/>
          <w:bCs/>
          <w:sz w:val="20"/>
          <w:szCs w:val="20"/>
        </w:rPr>
      </w:pPr>
      <w:r>
        <w:rPr>
          <w:rFonts w:asciiTheme="minorHAnsi" w:hAnsiTheme="minorHAnsi"/>
          <w:b/>
          <w:bCs/>
          <w:noProof/>
          <w:sz w:val="20"/>
          <w:szCs w:val="20"/>
        </w:rPr>
        <w:drawing>
          <wp:inline distT="0" distB="0" distL="0" distR="0" wp14:anchorId="221B2842" wp14:editId="426DE370">
            <wp:extent cx="5963474" cy="1053296"/>
            <wp:effectExtent l="0" t="0" r="0" b="0"/>
            <wp:docPr id="1504020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202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99198" cy="105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0362B" w14:textId="77777777" w:rsidR="00C96A54" w:rsidRDefault="00000000">
      <w:pPr>
        <w:spacing w:before="300" w:after="60"/>
      </w:pPr>
      <w:r>
        <w:rPr>
          <w:rFonts w:asciiTheme="minorHAnsi" w:hAnsiTheme="minorHAnsi"/>
          <w:b/>
          <w:bCs/>
          <w:sz w:val="20"/>
          <w:szCs w:val="20"/>
        </w:rPr>
        <w:t>Figura 6.4c. Corredor de deterioro Markoviano en escala M.</w:t>
      </w:r>
    </w:p>
    <w:p w14:paraId="512ACCFD" w14:textId="77777777" w:rsidR="00C96A54" w:rsidRDefault="00000000">
      <w:pPr>
        <w:spacing w:after="200"/>
        <w:jc w:val="both"/>
      </w:pPr>
      <w:r>
        <w:rPr>
          <w:rFonts w:asciiTheme="minorHAnsi" w:hAnsiTheme="minorHAnsi"/>
          <w:i/>
          <w:iCs/>
          <w:sz w:val="18"/>
          <w:szCs w:val="18"/>
        </w:rPr>
        <w:t>Nota. La progresión M0/M2 (protector) → M4 (moderado) → M3 (antesala) → M1 (severo, sin retorno fácil) ilustra la inercia creciente del sistema fisiológico hacia estados de alta carga hipóxica. Los colores codifican el nivel de riesgo: bajo (verde), moderado (naranja claro), alta carga (naranja), severo/inercia alta (rojo). Origen: NB05, Sección 5.</w:t>
      </w:r>
    </w:p>
    <w:p w14:paraId="7206D6AE" w14:textId="77777777" w:rsidR="00A9687A" w:rsidRPr="00D639C0" w:rsidRDefault="00000000" w:rsidP="00D639C0">
      <w:pPr>
        <w:pStyle w:val="Ttulo2"/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 xml:space="preserve">6.5  Fenotipos dinámicos nocturnos </w:t>
      </w:r>
    </w:p>
    <w:p w14:paraId="0B66CA13" w14:textId="77777777" w:rsidR="0075335A" w:rsidRDefault="007D62B0" w:rsidP="00D639C0">
      <w:pPr>
        <w:spacing w:after="2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K-means (K = 3) identificó tres fenotipos de trayectoria nocturna (Fig. 6.7, Anexo Suplementario) (Tabla 6.5). </w:t>
      </w:r>
    </w:p>
    <w:p w14:paraId="0162EDEF" w14:textId="77777777" w:rsidR="0075335A" w:rsidRPr="00D639C0" w:rsidRDefault="0075335A" w:rsidP="0075335A">
      <w:pPr>
        <w:spacing w:before="200" w:after="60" w:line="360" w:lineRule="auto"/>
        <w:rPr>
          <w:rFonts w:asciiTheme="minorHAnsi" w:hAnsiTheme="minorHAnsi"/>
        </w:rPr>
      </w:pPr>
      <w:r>
        <w:rPr>
          <w:rFonts w:asciiTheme="minorHAnsi" w:hAnsiTheme="minorHAnsi"/>
          <w:b/>
          <w:bCs/>
          <w:sz w:val="20"/>
          <w:szCs w:val="20"/>
        </w:rPr>
        <w:t>Tabla 6.5. Fenotipos dinámicos nocturnos identificados por PAC (K = 3, 511 noches, 8 pacientes).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6"/>
        <w:gridCol w:w="1099"/>
        <w:gridCol w:w="1109"/>
        <w:gridCol w:w="1498"/>
        <w:gridCol w:w="1299"/>
        <w:gridCol w:w="999"/>
        <w:gridCol w:w="1000"/>
      </w:tblGrid>
      <w:tr w:rsidR="0075335A" w:rsidRPr="00D639C0" w14:paraId="06548B39" w14:textId="77777777" w:rsidTr="00E72CB4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E91B0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lastRenderedPageBreak/>
              <w:t>Fenotipo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7D8B2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Frac. M1 (severo)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0D5BF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Frac. M3 (antesala)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4B2E3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% ev. severos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F98A4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ARI mediano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F8DE3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Trans. 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33426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Entropía M</w:t>
            </w:r>
          </w:p>
        </w:tc>
      </w:tr>
      <w:tr w:rsidR="0075335A" w:rsidRPr="00D639C0" w14:paraId="434F35B8" w14:textId="77777777" w:rsidTr="00E72CB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DAF18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Estable-Protector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31E10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2,5 %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50655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12,0 %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0BF67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3,1 %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B81B3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0,524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B7B1C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29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E94CD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1,519</w:t>
            </w:r>
          </w:p>
        </w:tc>
      </w:tr>
      <w:tr w:rsidR="0075335A" w:rsidRPr="00D639C0" w14:paraId="7FB912AE" w14:textId="77777777" w:rsidTr="00E72CB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CA4FE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Carga Intermedia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2733F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3,4 %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C22F5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22,7 %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60080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5,3 %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DECC3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0,492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0F2DF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43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21C6B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1,933</w:t>
            </w:r>
          </w:p>
        </w:tc>
      </w:tr>
      <w:tr w:rsidR="0075335A" w:rsidRPr="00D639C0" w14:paraId="5BD32B3B" w14:textId="77777777" w:rsidTr="00E72CB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E86EE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Carga Hipóxica Alta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B640E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78,1 %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A2FD9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3,1 %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A6B99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37,9 %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ECFA2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0,284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047C7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E7389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1,122</w:t>
            </w:r>
          </w:p>
        </w:tc>
      </w:tr>
    </w:tbl>
    <w:p w14:paraId="4F2E55D1" w14:textId="77777777" w:rsidR="0075335A" w:rsidRDefault="0075335A" w:rsidP="0075335A">
      <w:pPr>
        <w:spacing w:after="1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  <w:i/>
          <w:iCs/>
          <w:sz w:val="20"/>
          <w:szCs w:val="20"/>
        </w:rPr>
        <w:t xml:space="preserve">Nota. K-means sobre PCA de 7 features nocturnas. </w:t>
      </w:r>
    </w:p>
    <w:p w14:paraId="3F9F1588" w14:textId="77777777" w:rsidR="007C078B" w:rsidRPr="007C078B" w:rsidRDefault="007C078B" w:rsidP="007C078B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La Tabla 6.5 caracteriza cada fenotipo en seis dimensiones. Las más discriminantes son frac_M1 —78,1 % de la noche en CHA frente al 2,5 % en Estable-Protector— y el número de transiciones M, que en CHA se reduce a 6 (frente a 43 en Carga Intermedia): el fenotipo severo no alterna estados, los ocupa de forma monótona. La entropía M confirma este patrón: baja entropía, pocas transiciones, dominancia sostenida.</w:t>
      </w:r>
    </w:p>
    <w:p w14:paraId="5509DDBE" w14:textId="77777777" w:rsidR="00A9687A" w:rsidRPr="00D639C0" w:rsidRDefault="007D62B0" w:rsidP="00D639C0">
      <w:pPr>
        <w:spacing w:after="2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El hallazgo central es que CHA aparece predominantemente en pacientes con severidad AASM Moderada, evidenciando discordancia entre índice de frecuencia y fenotipo dinámico: un ODI3 igual puede esconder arquitecturas nocturnas radicalmente distintas. El ARI es prácticamente invariante entre fenotipos (diferencia máxima &lt; 0,25), confirmando su independencia respecto a la arquitectura de severidad dinámica.</w:t>
      </w:r>
    </w:p>
    <w:p w14:paraId="768CABF8" w14:textId="77777777" w:rsidR="002F7285" w:rsidRPr="002F7285" w:rsidRDefault="002F7285" w:rsidP="002F7285">
      <w:pPr>
        <w:pStyle w:val="Ttulo2"/>
      </w:pPr>
      <w:r>
        <w:t>6.6 Importancia predictiva de las features PAC: ablación LOPO-CV</w:t>
      </w:r>
    </w:p>
    <w:p w14:paraId="0DAE4328" w14:textId="77777777" w:rsidR="002F7285" w:rsidRPr="002F7285" w:rsidRDefault="002F7285" w:rsidP="002F7285">
      <w:pPr>
        <w:pStyle w:val="NormalWeb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El estudio de ablación LOPO-CV (validación cruzada por paciente) cuantifica la contribución predictiva de cada grupo de variables mediante un Random Forest aplicado a la clasificación multiclase de cuatro categorías AASM sobre 540 noches.</w:t>
      </w:r>
    </w:p>
    <w:p w14:paraId="715304F5" w14:textId="77777777" w:rsidR="002F7285" w:rsidRPr="002F7285" w:rsidRDefault="002F7285" w:rsidP="002F7285">
      <w:pPr>
        <w:pStyle w:val="NormalWeb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Los estados PAC concentran el 44,8 % de la importancia Gini total (Fig. 6.8), seguidos por morfotipos (20,6 %) y dinámica PAC (14,7 %). El modelo PAC-only alcanza balanced accuracy = 0,521 ± 0,218, superando al de índices clínicos convencionales (0,354 ± 0,294). El ARI solo obtiene la balanced accuracy más baja (0,281 ± 0,150), coherente con su ortogonalidad respecto a la severidad AASM.</w:t>
      </w:r>
    </w:p>
    <w:p w14:paraId="18F22A62" w14:textId="77777777" w:rsidR="00A9687A" w:rsidRPr="00D639C0" w:rsidRDefault="00000000" w:rsidP="00D639C0">
      <w:pPr>
        <w:spacing w:before="200" w:after="60" w:line="360" w:lineRule="auto"/>
        <w:rPr>
          <w:rFonts w:asciiTheme="minorHAnsi" w:hAnsiTheme="minorHAnsi"/>
        </w:rPr>
      </w:pPr>
      <w:r>
        <w:rPr>
          <w:rFonts w:asciiTheme="minorHAnsi" w:hAnsiTheme="minorHAnsi"/>
          <w:b/>
          <w:bCs/>
          <w:sz w:val="20"/>
          <w:szCs w:val="20"/>
        </w:rPr>
        <w:t>Tabla 6.6. Importancia relativa de grupos de features — Random Forest, ablación LOPO-CV.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2000"/>
        <w:gridCol w:w="2500"/>
      </w:tblGrid>
      <w:tr w:rsidR="00A9687A" w:rsidRPr="00D639C0" w14:paraId="03EA011B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0C35A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lastRenderedPageBreak/>
              <w:t>Grupo de features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30DB1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N variables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10967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Importancia (Gini)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2A6E9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% sobre total</w:t>
            </w:r>
          </w:p>
        </w:tc>
      </w:tr>
      <w:tr w:rsidR="00A9687A" w:rsidRPr="00D639C0" w14:paraId="523D7F8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90EB9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PAC States (S/M/L)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6A599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20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BC8FB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0,4475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A1C54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44,8 %</w:t>
            </w:r>
          </w:p>
        </w:tc>
      </w:tr>
      <w:tr w:rsidR="00A9687A" w:rsidRPr="00D639C0" w14:paraId="3E4ACA2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17286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Morfotipos C1–C5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33F6A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4C350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0,2019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5AD00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20,6 %</w:t>
            </w:r>
          </w:p>
        </w:tc>
      </w:tr>
      <w:tr w:rsidR="00A9687A" w:rsidRPr="00D639C0" w14:paraId="7D3991D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9AB8E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PAC Dynamics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756AD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520DC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0,1466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A7510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14,7 %</w:t>
            </w:r>
          </w:p>
        </w:tc>
      </w:tr>
      <w:tr w:rsidR="00A9687A" w:rsidRPr="00D639C0" w14:paraId="4F72EB5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C092C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Variables clínicas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89569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88800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0,1023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6644E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10,2 %</w:t>
            </w:r>
          </w:p>
        </w:tc>
      </w:tr>
      <w:tr w:rsidR="00A9687A" w:rsidRPr="00D639C0" w14:paraId="7BC0B03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C1F43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Sueño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803F6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CDE2B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0,0680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3DD61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6,8 %</w:t>
            </w:r>
          </w:p>
        </w:tc>
      </w:tr>
      <w:tr w:rsidR="00A9687A" w:rsidRPr="00D639C0" w14:paraId="07F6A39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465D4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ARI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32CA4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45304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0,0337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18635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3,4 %</w:t>
            </w:r>
          </w:p>
        </w:tc>
      </w:tr>
    </w:tbl>
    <w:p w14:paraId="1BEE3611" w14:textId="77777777" w:rsidR="00A9687A" w:rsidRPr="00D639C0" w:rsidRDefault="00000000" w:rsidP="00D639C0">
      <w:pPr>
        <w:spacing w:after="1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  <w:i/>
          <w:iCs/>
          <w:sz w:val="20"/>
          <w:szCs w:val="20"/>
        </w:rPr>
        <w:t>Nota. Importancia Gini promediada sobre 8 folds LOPO-CV. 540 noches, 8 pacientes.</w:t>
      </w:r>
    </w:p>
    <w:p w14:paraId="1C9CE0BA" w14:textId="77777777" w:rsidR="00C96A54" w:rsidRDefault="00000000">
      <w:pPr>
        <w:spacing w:before="300" w:after="60"/>
      </w:pPr>
      <w:r>
        <w:rPr>
          <w:rFonts w:asciiTheme="minorHAnsi" w:hAnsiTheme="minorHAnsi"/>
          <w:b/>
          <w:bCs/>
          <w:sz w:val="20"/>
          <w:szCs w:val="20"/>
        </w:rPr>
        <w:t>Figura 6.8. Ablación por grupo de features — balanced accuracy LOPO-CV (clasificación multiclase, 4 categorías AASM).</w:t>
      </w:r>
    </w:p>
    <w:p w14:paraId="4965FC0A" w14:textId="77777777" w:rsidR="00C96A54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413A5469" wp14:editId="75C5296A">
            <wp:extent cx="5400000" cy="2050103"/>
            <wp:effectExtent l="0" t="0" r="0" b="0"/>
            <wp:docPr id="41" name="06_ablation_study.png" descr="Figura 6.8. Ablación por grupo de features — balanced accuracy LOPO-CV (clasificación multiclase, 4 categorías AASM)." title="Figura 6.8. Ablación por grupo de features — balanced accuracy LOPO-CV (clasificación multiclase, 4 categorías AASM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05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2D583" w14:textId="77777777" w:rsidR="00C96A54" w:rsidRDefault="00000000">
      <w:pPr>
        <w:spacing w:after="200"/>
        <w:jc w:val="both"/>
      </w:pPr>
      <w:r>
        <w:rPr>
          <w:rFonts w:asciiTheme="minorHAnsi" w:hAnsiTheme="minorHAnsi"/>
          <w:i/>
          <w:iCs/>
          <w:sz w:val="18"/>
          <w:szCs w:val="18"/>
        </w:rPr>
        <w:t>Nota. Barras = media ± SD sobre 8 folds LOPO-CV. Los PAC States concentran el 44,8 % de la importancia Gini total. El modelo PAC States + Dinámica PAC supera al modelo basado en índices clínicos convencionales (0,521 vs. 0,354 balanced accuracy).</w:t>
      </w:r>
    </w:p>
    <w:p w14:paraId="7E45E02C" w14:textId="77777777" w:rsidR="00A9687A" w:rsidRPr="00D639C0" w:rsidRDefault="00000000" w:rsidP="00D639C0">
      <w:pPr>
        <w:pStyle w:val="Ttulo2"/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>6.7  Modelo predictivo a nivel de evento</w:t>
      </w:r>
    </w:p>
    <w:p w14:paraId="59B5F32A" w14:textId="77777777" w:rsidR="004C3724" w:rsidRDefault="004C3724" w:rsidP="00D639C0">
      <w:pPr>
        <w:spacing w:after="200" w:line="360" w:lineRule="auto"/>
        <w:jc w:val="both"/>
      </w:pPr>
      <w:r>
        <w:rPr>
          <w:rFonts w:asciiTheme="minorHAnsi" w:hAnsiTheme="minorHAnsi"/>
        </w:rPr>
        <w:t>El modelo de predicción de evento severo (NB07 Bloque B) estima la probabilidad de que un EDO sea morfológicamente severo (C4 o C5) a partir del estado PAC activo y la historia acumulada de la noche, sin utilizar características del evento en curso.</w:t>
      </w:r>
    </w:p>
    <w:p w14:paraId="343E83C6" w14:textId="77777777" w:rsidR="004C3724" w:rsidRDefault="00000000" w:rsidP="004C3724">
      <w:pPr>
        <w:spacing w:after="2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Sobre 76.053 eventos (prevalencia positiva: 5,57 %), el LightGBM supera a la logística: AUC = 0,878 vs. 0,743; AP = 0,240 vs. 0,164 (Tabla 6.7). Las features más predictivas son contextos acumulados: event_position, recent_morph_mean y ci_so_far —el riesgo se acumula progresivamente dentro de la noche más que en el evento individual.</w:t>
      </w:r>
    </w:p>
    <w:p w14:paraId="5D5223E3" w14:textId="77777777" w:rsidR="00A9687A" w:rsidRPr="00D639C0" w:rsidRDefault="00000000" w:rsidP="004C3724">
      <w:pPr>
        <w:spacing w:after="2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  <w:b/>
          <w:bCs/>
          <w:sz w:val="20"/>
          <w:szCs w:val="20"/>
        </w:rPr>
        <w:lastRenderedPageBreak/>
        <w:t>Tabla 6.7. Rendimiento del modelo predictivo de evento severo — LOPO-CV.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9"/>
        <w:gridCol w:w="1268"/>
        <w:gridCol w:w="1268"/>
        <w:gridCol w:w="1332"/>
        <w:gridCol w:w="1439"/>
        <w:gridCol w:w="1274"/>
      </w:tblGrid>
      <w:tr w:rsidR="00A9687A" w:rsidRPr="00D639C0" w14:paraId="14713A5C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796F4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Modelo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6E029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AUC LOPO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276B5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AP LOPO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0FAA9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Sensibilidad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CF772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Especificidad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D7FEC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Mejora AP</w:t>
            </w:r>
          </w:p>
        </w:tc>
      </w:tr>
      <w:tr w:rsidR="00A9687A" w:rsidRPr="00D639C0" w14:paraId="6EE63D3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8910F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Regresión logística (basal)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1DF80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0,743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81B12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0,164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37F1E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0,716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08C38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0,660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036E2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2,9×</w:t>
            </w:r>
          </w:p>
        </w:tc>
      </w:tr>
      <w:tr w:rsidR="00A9687A" w:rsidRPr="00D639C0" w14:paraId="2357DEA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73AE8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LightGBM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B8291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0,878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CB590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0,240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E3AB1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0,87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E68EC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0,76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C10A9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4,3×</w:t>
            </w:r>
          </w:p>
        </w:tc>
      </w:tr>
    </w:tbl>
    <w:p w14:paraId="7D05ED3B" w14:textId="77777777" w:rsidR="00A9687A" w:rsidRPr="00D639C0" w:rsidRDefault="00000000" w:rsidP="00D639C0">
      <w:pPr>
        <w:spacing w:after="1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  <w:i/>
          <w:iCs/>
          <w:sz w:val="20"/>
          <w:szCs w:val="20"/>
        </w:rPr>
        <w:t>Nota. Clase positiva = C4 o C5 (5,57 %). Baseline AP = 5,56 % (prevalencia). Rango AUC por fold (LightGBM): 0,798–0,964.</w:t>
      </w:r>
    </w:p>
    <w:p w14:paraId="676AE997" w14:textId="77777777" w:rsidR="00A9687A" w:rsidRPr="00D639C0" w:rsidRDefault="00000000" w:rsidP="00D639C0">
      <w:pPr>
        <w:spacing w:before="80" w:after="160" w:line="360" w:lineRule="auto"/>
        <w:rPr>
          <w:rFonts w:asciiTheme="minorHAnsi" w:hAnsiTheme="minorHAnsi"/>
        </w:rPr>
      </w:pPr>
      <w:r>
        <w:rPr>
          <w:rFonts w:ascii="Segoe UI Symbol" w:hAnsi="Segoe UI Symbol" w:cs="Segoe UI Symbol"/>
          <w:i/>
          <w:iCs/>
          <w:color w:val="555555"/>
          <w:sz w:val="20"/>
          <w:szCs w:val="20"/>
        </w:rPr>
        <w:t>▸</w:t>
      </w:r>
      <w:r>
        <w:rPr>
          <w:rFonts w:asciiTheme="minorHAnsi" w:hAnsiTheme="minorHAnsi"/>
          <w:i/>
          <w:iCs/>
          <w:color w:val="555555"/>
          <w:sz w:val="20"/>
          <w:szCs w:val="20"/>
        </w:rPr>
        <w:t xml:space="preserve"> Figura complementaria en Anexo: Fig. 6.9 (curvas ROC y Precision-Recall comparativas).</w:t>
      </w:r>
    </w:p>
    <w:p w14:paraId="0B903B1F" w14:textId="77777777" w:rsidR="00A9687A" w:rsidRPr="00D639C0" w:rsidRDefault="00000000" w:rsidP="00D639C0">
      <w:pPr>
        <w:pStyle w:val="Ttulo2"/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>6.8  Modelo predictivo a nivel de noche</w:t>
      </w:r>
    </w:p>
    <w:p w14:paraId="3738D201" w14:textId="77777777" w:rsidR="00A9687A" w:rsidRPr="00E70F72" w:rsidRDefault="0066574C" w:rsidP="00E70F72">
      <w:pPr>
        <w:pStyle w:val="NormalWeb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El modelo de clasificación nocturna (NB07 Bloque C) distingue Normal+Leve de Moderado+Severo sobre 540 noches (32,0 % positivos). La logística supera al Random Forest: AUC = 0,874 vs. 0,815; AP = 0,764 vs. 0,649 (Tabla 6.8, Fig. 6.10), sugiriendo separación aproximadamente lineal una vez transformadas las señales en dimensiones PAC. Las features dominantes son fracciones de estados M (69,4 % de la importancia combinada), consistente con que M1 es el mejor predictor de carga hipóxica acumulada (Cap05). El modelo no solo funciona: lo hace por las razones fisiológicas correctas.</w:t>
      </w:r>
    </w:p>
    <w:p w14:paraId="19DD3D9E" w14:textId="77777777" w:rsidR="00A9687A" w:rsidRPr="00D639C0" w:rsidRDefault="00000000" w:rsidP="00D639C0">
      <w:pPr>
        <w:spacing w:before="200" w:after="60" w:line="360" w:lineRule="auto"/>
        <w:rPr>
          <w:rFonts w:asciiTheme="minorHAnsi" w:hAnsiTheme="minorHAnsi"/>
        </w:rPr>
      </w:pPr>
      <w:r>
        <w:rPr>
          <w:rFonts w:asciiTheme="minorHAnsi" w:hAnsiTheme="minorHAnsi"/>
          <w:b/>
          <w:bCs/>
          <w:sz w:val="20"/>
          <w:szCs w:val="20"/>
        </w:rPr>
        <w:t>Tabla 6.8. Rendimiento del modelo predictivo nocturno binario — LOPO-CV.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2000"/>
        <w:gridCol w:w="2000"/>
      </w:tblGrid>
      <w:tr w:rsidR="00A9687A" w:rsidRPr="00D639C0" w14:paraId="71F3EEDC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1944A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Modelo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2B613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AUC LOPO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FAC8E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Average Precision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B7929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Baseline AP</w:t>
            </w:r>
          </w:p>
        </w:tc>
      </w:tr>
      <w:tr w:rsidR="00A9687A" w:rsidRPr="00D639C0" w14:paraId="0A4FFD5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F6D60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Regresión logística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3D4AA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0,874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260F8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0,764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EAA18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0,320</w:t>
            </w:r>
          </w:p>
        </w:tc>
      </w:tr>
      <w:tr w:rsidR="00A9687A" w:rsidRPr="00D639C0" w14:paraId="6A01035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6A2EF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Random Forest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58ABC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0,815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814F4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0,649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8B97E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0,320</w:t>
            </w:r>
          </w:p>
        </w:tc>
      </w:tr>
    </w:tbl>
    <w:p w14:paraId="43EA2873" w14:textId="77777777" w:rsidR="00D54A6F" w:rsidRPr="00D54A6F" w:rsidRDefault="00D54A6F" w:rsidP="00D639C0">
      <w:pPr>
        <w:spacing w:before="80" w:after="160" w:line="360" w:lineRule="auto"/>
        <w:rPr>
          <w:i/>
          <w:iCs/>
          <w:color w:val="808080" w:themeColor="background1" w:themeShade="80"/>
          <w:sz w:val="18"/>
          <w:szCs w:val="18"/>
        </w:rPr>
      </w:pPr>
      <w:r>
        <w:rPr>
          <w:i/>
          <w:iCs/>
          <w:color w:val="808080" w:themeColor="background1" w:themeShade="80"/>
          <w:sz w:val="18"/>
          <w:szCs w:val="18"/>
        </w:rPr>
        <w:t>Nota. Clasificación binaria: Normal+Leve vs. Moderado+Severo. n = 540 noches, 8 pacientes, LOPO-CV estricto.</w:t>
      </w:r>
    </w:p>
    <w:p w14:paraId="091EA9AF" w14:textId="77777777" w:rsidR="00C96A54" w:rsidRDefault="00000000">
      <w:pPr>
        <w:spacing w:before="300" w:after="60"/>
      </w:pPr>
      <w:r>
        <w:t>Figura 6.10. Curvas ROC y Precision-Recall para la clasificación nocturna binaria (NB07 Bloque C).</w:t>
      </w:r>
    </w:p>
    <w:p w14:paraId="7860533F" w14:textId="77777777" w:rsidR="009C49D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7223DE7" wp14:editId="37AD997D">
            <wp:extent cx="5943600" cy="2474832"/>
            <wp:effectExtent l="0" t="0" r="0" b="0"/>
            <wp:docPr id="2036060226" name="fig6_6_10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fig6_6_10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68C54" w14:textId="77777777" w:rsidR="00C96A54" w:rsidRDefault="00000000">
      <w:pPr>
        <w:spacing w:after="200"/>
        <w:jc w:val="both"/>
      </w:pPr>
      <w:r>
        <w:t>Nota. Logística: AUC = 0,874, AP = 0,764. Random Forest: AUC = 0,815, AP = 0,649. Baseline AP = 0,320 (prevalencia). n = 540 noches, 8 pacientes. Origen: NB07, Bloque C. ⚑ Prioridad media.</w:t>
      </w:r>
    </w:p>
    <w:p w14:paraId="53223055" w14:textId="77777777" w:rsidR="00A9687A" w:rsidRPr="00D639C0" w:rsidRDefault="00000000" w:rsidP="00D639C0">
      <w:pPr>
        <w:pStyle w:val="Ttulo2"/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>6.9  Risk Score PAC</w:t>
      </w:r>
    </w:p>
    <w:p w14:paraId="61A50119" w14:textId="77777777" w:rsidR="00166285" w:rsidRPr="00166285" w:rsidRDefault="00166285" w:rsidP="00166285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El Risk Score PAC integra la probabilidad de evento severo (§6.7, peso 40 %) y la probabilidad de noche de alto riesgo (§6.8, peso 60 %) en un índice 0–100 (Tabla 6.9).</w:t>
      </w:r>
    </w:p>
    <w:p w14:paraId="1227FC38" w14:textId="77777777" w:rsidR="00A9687A" w:rsidRPr="00D639C0" w:rsidRDefault="00F0297D" w:rsidP="00F0297D">
      <w:pPr>
        <w:rPr>
          <w:rFonts w:asciiTheme="minorHAnsi" w:hAnsiTheme="minorHAnsi"/>
        </w:rPr>
      </w:pPr>
      <w:r>
        <w:rPr>
          <w:rFonts w:asciiTheme="minorHAnsi" w:hAnsiTheme="minorHAnsi"/>
        </w:rPr>
        <w:br w:type="page"/>
      </w:r>
    </w:p>
    <w:p w14:paraId="2303A58C" w14:textId="77777777" w:rsidR="00A9687A" w:rsidRPr="00D639C0" w:rsidRDefault="00000000" w:rsidP="00D639C0">
      <w:pPr>
        <w:spacing w:before="200" w:after="60" w:line="360" w:lineRule="auto"/>
        <w:rPr>
          <w:rFonts w:asciiTheme="minorHAnsi" w:hAnsiTheme="minorHAnsi"/>
        </w:rPr>
      </w:pPr>
      <w:r>
        <w:rPr>
          <w:rFonts w:asciiTheme="minorHAnsi" w:hAnsiTheme="minorHAnsi"/>
          <w:b/>
          <w:bCs/>
          <w:sz w:val="20"/>
          <w:szCs w:val="20"/>
        </w:rPr>
        <w:lastRenderedPageBreak/>
        <w:t>Tabla 6.9. Composición del Risk Score PAC (escala 0–100).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536"/>
        <w:gridCol w:w="1418"/>
        <w:gridCol w:w="1346"/>
      </w:tblGrid>
      <w:tr w:rsidR="00A9687A" w:rsidRPr="00D639C0" w14:paraId="1FF4D945" w14:textId="77777777" w:rsidTr="00561E9A"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29DFC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3BA3E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Fuente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CB35E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Peso</w:t>
            </w:r>
          </w:p>
        </w:tc>
        <w:tc>
          <w:tcPr>
            <w:tcW w:w="1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9E4A1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AUC base</w:t>
            </w:r>
          </w:p>
        </w:tc>
      </w:tr>
      <w:tr w:rsidR="00A9687A" w:rsidRPr="00D639C0" w14:paraId="15EED11D" w14:textId="77777777" w:rsidTr="00561E9A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FEB4F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Score de evento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2F4DE" w14:textId="77777777" w:rsidR="00A9687A" w:rsidRPr="00561E9A" w:rsidRDefault="00000000" w:rsidP="00D639C0">
            <w:pPr>
              <w:spacing w:line="360" w:lineRule="auto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LightGBM — predicción de evento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8A0D9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40 %</w:t>
            </w:r>
          </w:p>
        </w:tc>
        <w:tc>
          <w:tcPr>
            <w:tcW w:w="1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F6126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0,878</w:t>
            </w:r>
          </w:p>
        </w:tc>
      </w:tr>
      <w:tr w:rsidR="00A9687A" w:rsidRPr="00D639C0" w14:paraId="41114A0F" w14:textId="77777777" w:rsidTr="00561E9A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90501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Score de noche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1A511" w14:textId="77777777" w:rsidR="00A9687A" w:rsidRPr="00561E9A" w:rsidRDefault="00561E9A" w:rsidP="00D639C0">
            <w:pPr>
              <w:spacing w:line="360" w:lineRule="auto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Regresión logística — clasificación nocturna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675BC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60 %</w:t>
            </w:r>
          </w:p>
        </w:tc>
        <w:tc>
          <w:tcPr>
            <w:tcW w:w="1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F912D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0,874</w:t>
            </w:r>
          </w:p>
        </w:tc>
      </w:tr>
    </w:tbl>
    <w:p w14:paraId="4F52EBB4" w14:textId="77777777" w:rsidR="00A9687A" w:rsidRPr="00D639C0" w:rsidRDefault="00000000" w:rsidP="00D639C0">
      <w:pPr>
        <w:spacing w:after="1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  <w:i/>
          <w:iCs/>
          <w:sz w:val="20"/>
          <w:szCs w:val="20"/>
        </w:rPr>
        <w:t>Nota. Fórmula: Risk Score = (0,40 × p_ev_norm + 0,60 × p_high_risk_night) × 100. Etiquetas: Bajo &lt; 30, Moderado 30–60, Alto &gt; 60.</w:t>
      </w:r>
    </w:p>
    <w:p w14:paraId="3B293274" w14:textId="77777777" w:rsidR="00166285" w:rsidRPr="00166285" w:rsidRDefault="00166285" w:rsidP="00166285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El score muestra gradiente monótono: medianas de 29,2 (Normal), 29,4 (Leve), 72,9 (Moderado) y 81,0 (Severo). La proximidad Normal/Leve refleja el solapamiento de sus perfiles dinámicos en la cohorte (Fig. 6.11).</w:t>
      </w:r>
    </w:p>
    <w:p w14:paraId="368172B8" w14:textId="77777777" w:rsidR="00166285" w:rsidRPr="00166285" w:rsidRDefault="00166285" w:rsidP="00166285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El umbral de 60 puntos captura el 100 % de las noches Severas y el 77,6 % de las Moderadas con 9,4 % de falsos positivos en Leve. El Risk Score es un índice de caracterización dinámica retrospectiva —no monitoreo en tiempo real—, útil para fenotipado post-diagnóstico y detección de noches con riesgo oculto.</w:t>
      </w:r>
    </w:p>
    <w:p w14:paraId="1F1AC9DF" w14:textId="77777777" w:rsidR="00C96A54" w:rsidRDefault="00000000">
      <w:pPr>
        <w:spacing w:before="300" w:after="60"/>
      </w:pPr>
      <w:r>
        <w:t>Figura 6.11. Distribución del Risk Score PAC (0–100) por categoría clínica AASM.</w:t>
      </w:r>
    </w:p>
    <w:p w14:paraId="61BF3F5C" w14:textId="77777777" w:rsidR="009C49D7" w:rsidRDefault="00000000">
      <w:pPr>
        <w:jc w:val="center"/>
      </w:pPr>
      <w:r>
        <w:rPr>
          <w:noProof/>
        </w:rPr>
        <w:drawing>
          <wp:inline distT="0" distB="0" distL="0" distR="0" wp14:anchorId="19E630B2" wp14:editId="2EE6DFCD">
            <wp:extent cx="5943600" cy="2279147"/>
            <wp:effectExtent l="0" t="0" r="0" b="0"/>
            <wp:docPr id="286717996" name="fig6_6_11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fig6_6_11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E93FA" w14:textId="77777777" w:rsidR="00C96A54" w:rsidRDefault="00000000">
      <w:pPr>
        <w:spacing w:after="200"/>
        <w:jc w:val="both"/>
      </w:pPr>
      <w:r>
        <w:t>Nota. Medianas: 29,2 (Normal) / 29,4 (Leve) / 72,9 (Moderado) / 81,0 (Severo). Umbral 60: captura 100 % Severas, 77,6 % Moderadas, 9,4 % Leves. n = 540 noches. Origen: NB07, Bloque D. ⚑ Prioridad media.</w:t>
      </w:r>
    </w:p>
    <w:p w14:paraId="5BAF9258" w14:textId="77777777" w:rsidR="00A9687A" w:rsidRPr="00D639C0" w:rsidRDefault="00000000" w:rsidP="00D639C0">
      <w:pPr>
        <w:pStyle w:val="Ttulo2"/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>6.10  Limitaciones</w:t>
      </w:r>
    </w:p>
    <w:p w14:paraId="798E2078" w14:textId="77777777" w:rsidR="00CC2EEF" w:rsidRPr="00CC2EEF" w:rsidRDefault="00CC2EEF" w:rsidP="00CC2EEF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Con n = 8 en la cohorte estricta, el LOPO-CV produce ocho puntos de rendimiento independientes: suficientes para estimar tendencias, no para certificación clínica. La </w:t>
      </w:r>
      <w:r>
        <w:rPr>
          <w:rFonts w:asciiTheme="minorHAnsi" w:hAnsiTheme="minorHAnsi"/>
        </w:rPr>
        <w:lastRenderedPageBreak/>
        <w:t>varianza entre folds (AUC evento: 0,798–0,964) refleja heterogeneidad fisiológica real. La ausencia de polisomnografía concurrente restringe la comparación directa con el AHI.</w:t>
      </w:r>
    </w:p>
    <w:p w14:paraId="5C80937A" w14:textId="77777777" w:rsidR="00A9687A" w:rsidRPr="00D639C0" w:rsidRDefault="00000000" w:rsidP="00D639C0">
      <w:pPr>
        <w:spacing w:after="2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El Risk Score PAC requiere calibración externa y validación prospectiva antes de cualquier uso asistencial. La predicción en tiempo real con lead time explícito es objeto del Capítulo 8; las implicaciones clínicas se retoman en el Capítulo 9.</w:t>
      </w:r>
    </w:p>
    <w:p w14:paraId="4BA6A123" w14:textId="77777777" w:rsidR="00A9687A" w:rsidRPr="00D639C0" w:rsidRDefault="00A9687A" w:rsidP="00D639C0">
      <w:pPr>
        <w:spacing w:before="400" w:line="360" w:lineRule="auto"/>
        <w:rPr>
          <w:rFonts w:asciiTheme="minorHAnsi" w:hAnsiTheme="minorHAnsi"/>
        </w:rPr>
      </w:pPr>
    </w:p>
    <w:sectPr w:rsidR="00A9687A" w:rsidRPr="00D639C0">
      <w:headerReference w:type="default" r:id="rId16"/>
      <w:pgSz w:w="11906" w:h="16838"/>
      <w:pgMar w:top="1701" w:right="1418" w:bottom="1701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8AF81" w14:textId="77777777" w:rsidR="00AF5B3D" w:rsidRDefault="00AF5B3D">
      <w:r>
        <w:separator/>
      </w:r>
    </w:p>
  </w:endnote>
  <w:endnote w:type="continuationSeparator" w:id="0">
    <w:p w14:paraId="06D637BB" w14:textId="77777777" w:rsidR="00AF5B3D" w:rsidRDefault="00AF5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9EC2F" w14:textId="77777777" w:rsidR="00AF5B3D" w:rsidRDefault="00AF5B3D">
      <w:r>
        <w:separator/>
      </w:r>
    </w:p>
  </w:footnote>
  <w:footnote w:type="continuationSeparator" w:id="0">
    <w:p w14:paraId="25B50C2E" w14:textId="77777777" w:rsidR="00AF5B3D" w:rsidRDefault="00AF5B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FC29A" w14:textId="77777777" w:rsidR="002B1B9F" w:rsidRPr="008F582A" w:rsidRDefault="00000000" w:rsidP="008F582A">
    <w:pPr>
      <w:pBdr>
        <w:bottom w:val="single" w:sz="4" w:space="1" w:color="auto"/>
      </w:pBdr>
      <w:rPr>
        <w:color w:val="747474" w:themeColor="background2" w:themeShade="80"/>
        <w:sz w:val="18"/>
        <w:szCs w:val="18"/>
      </w:rPr>
    </w:pPr>
    <w:r w:rsidRPr="008F582A">
      <w:rPr>
        <w:color w:val="747474" w:themeColor="background2" w:themeShade="80"/>
        <w:sz w:val="18"/>
        <w:szCs w:val="18"/>
      </w:rPr>
      <w:t xml:space="preserve">Proyecto PAC · Tesis de Maestría        </w:t>
    </w:r>
    <w:r w:rsidRPr="008F582A">
      <w:rPr>
        <w:i/>
        <w:iCs/>
        <w:color w:val="747474" w:themeColor="background2" w:themeShade="80"/>
        <w:sz w:val="18"/>
        <w:szCs w:val="18"/>
      </w:rPr>
      <w:t xml:space="preserve">Capítulo 6 — Modelado Predictivo </w:t>
    </w:r>
    <w:r w:rsidRPr="008F582A">
      <w:rPr>
        <w:color w:val="747474" w:themeColor="background2" w:themeShade="80"/>
        <w:sz w:val="18"/>
        <w:szCs w:val="18"/>
      </w:rPr>
      <w:t>(versión resumida v</w:t>
    </w:r>
    <w:r w:rsidR="00573786">
      <w:rPr>
        <w:color w:val="747474" w:themeColor="background2" w:themeShade="80"/>
        <w:sz w:val="18"/>
        <w:szCs w:val="18"/>
      </w:rPr>
      <w:t>8</w:t>
    </w:r>
    <w:r w:rsidRPr="008F582A">
      <w:rPr>
        <w:color w:val="747474" w:themeColor="background2" w:themeShade="80"/>
        <w:sz w:val="18"/>
        <w:szCs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5BBB"/>
    <w:multiLevelType w:val="hybridMultilevel"/>
    <w:tmpl w:val="E048B782"/>
    <w:lvl w:ilvl="0" w:tplc="7B30708E">
      <w:start w:val="1"/>
      <w:numFmt w:val="bullet"/>
      <w:lvlText w:val="●"/>
      <w:lvlJc w:val="left"/>
      <w:pPr>
        <w:ind w:left="720" w:hanging="360"/>
      </w:pPr>
    </w:lvl>
    <w:lvl w:ilvl="1" w:tplc="853A8C98">
      <w:start w:val="1"/>
      <w:numFmt w:val="bullet"/>
      <w:lvlText w:val="○"/>
      <w:lvlJc w:val="left"/>
      <w:pPr>
        <w:ind w:left="1440" w:hanging="360"/>
      </w:pPr>
    </w:lvl>
    <w:lvl w:ilvl="2" w:tplc="477E3B68">
      <w:start w:val="1"/>
      <w:numFmt w:val="bullet"/>
      <w:lvlText w:val="■"/>
      <w:lvlJc w:val="left"/>
      <w:pPr>
        <w:ind w:left="2160" w:hanging="360"/>
      </w:pPr>
    </w:lvl>
    <w:lvl w:ilvl="3" w:tplc="7ECCD978">
      <w:start w:val="1"/>
      <w:numFmt w:val="bullet"/>
      <w:lvlText w:val="●"/>
      <w:lvlJc w:val="left"/>
      <w:pPr>
        <w:ind w:left="2880" w:hanging="360"/>
      </w:pPr>
    </w:lvl>
    <w:lvl w:ilvl="4" w:tplc="940AF048">
      <w:start w:val="1"/>
      <w:numFmt w:val="bullet"/>
      <w:lvlText w:val="○"/>
      <w:lvlJc w:val="left"/>
      <w:pPr>
        <w:ind w:left="3600" w:hanging="360"/>
      </w:pPr>
    </w:lvl>
    <w:lvl w:ilvl="5" w:tplc="7C229FBA">
      <w:start w:val="1"/>
      <w:numFmt w:val="bullet"/>
      <w:lvlText w:val="■"/>
      <w:lvlJc w:val="left"/>
      <w:pPr>
        <w:ind w:left="4320" w:hanging="360"/>
      </w:pPr>
    </w:lvl>
    <w:lvl w:ilvl="6" w:tplc="2A38F96E">
      <w:start w:val="1"/>
      <w:numFmt w:val="bullet"/>
      <w:lvlText w:val="●"/>
      <w:lvlJc w:val="left"/>
      <w:pPr>
        <w:ind w:left="5040" w:hanging="360"/>
      </w:pPr>
    </w:lvl>
    <w:lvl w:ilvl="7" w:tplc="A5622972">
      <w:start w:val="1"/>
      <w:numFmt w:val="bullet"/>
      <w:lvlText w:val="●"/>
      <w:lvlJc w:val="left"/>
      <w:pPr>
        <w:ind w:left="5760" w:hanging="360"/>
      </w:pPr>
    </w:lvl>
    <w:lvl w:ilvl="8" w:tplc="57805D26">
      <w:start w:val="1"/>
      <w:numFmt w:val="bullet"/>
      <w:lvlText w:val="●"/>
      <w:lvlJc w:val="left"/>
      <w:pPr>
        <w:ind w:left="6480" w:hanging="360"/>
      </w:pPr>
    </w:lvl>
  </w:abstractNum>
  <w:num w:numId="1" w16cid:durableId="15422806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87A"/>
    <w:rsid w:val="000370B1"/>
    <w:rsid w:val="00076435"/>
    <w:rsid w:val="00120EA2"/>
    <w:rsid w:val="00166285"/>
    <w:rsid w:val="001F7132"/>
    <w:rsid w:val="0021509E"/>
    <w:rsid w:val="00285D38"/>
    <w:rsid w:val="002B1B9F"/>
    <w:rsid w:val="002D569F"/>
    <w:rsid w:val="002F607E"/>
    <w:rsid w:val="002F7285"/>
    <w:rsid w:val="00386647"/>
    <w:rsid w:val="003A0B49"/>
    <w:rsid w:val="003A173E"/>
    <w:rsid w:val="00407470"/>
    <w:rsid w:val="0042185E"/>
    <w:rsid w:val="00453E6B"/>
    <w:rsid w:val="004774AE"/>
    <w:rsid w:val="004C3724"/>
    <w:rsid w:val="004F6C2C"/>
    <w:rsid w:val="00561E9A"/>
    <w:rsid w:val="00573786"/>
    <w:rsid w:val="005E7823"/>
    <w:rsid w:val="0066574C"/>
    <w:rsid w:val="006B067C"/>
    <w:rsid w:val="007115A3"/>
    <w:rsid w:val="00740724"/>
    <w:rsid w:val="0075335A"/>
    <w:rsid w:val="007B0DF7"/>
    <w:rsid w:val="007C078B"/>
    <w:rsid w:val="007D62B0"/>
    <w:rsid w:val="00833978"/>
    <w:rsid w:val="00876E61"/>
    <w:rsid w:val="009005C3"/>
    <w:rsid w:val="00980146"/>
    <w:rsid w:val="009C49D7"/>
    <w:rsid w:val="00A03C7F"/>
    <w:rsid w:val="00A10CEA"/>
    <w:rsid w:val="00A4213E"/>
    <w:rsid w:val="00A9687A"/>
    <w:rsid w:val="00AF13E8"/>
    <w:rsid w:val="00AF5B3D"/>
    <w:rsid w:val="00BA0B19"/>
    <w:rsid w:val="00C76BF5"/>
    <w:rsid w:val="00C96A54"/>
    <w:rsid w:val="00CA34F0"/>
    <w:rsid w:val="00CB29B7"/>
    <w:rsid w:val="00CC2EEF"/>
    <w:rsid w:val="00CC4DA3"/>
    <w:rsid w:val="00CD7DAA"/>
    <w:rsid w:val="00CE33FF"/>
    <w:rsid w:val="00D43F7C"/>
    <w:rsid w:val="00D54A6F"/>
    <w:rsid w:val="00D639C0"/>
    <w:rsid w:val="00D71786"/>
    <w:rsid w:val="00E67DFE"/>
    <w:rsid w:val="00E70F72"/>
    <w:rsid w:val="00E9554E"/>
    <w:rsid w:val="00EA2E08"/>
    <w:rsid w:val="00EB0EA1"/>
    <w:rsid w:val="00F02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E35BBED"/>
  <w15:docId w15:val="{E2B8AE59-5EF7-8144-A389-3E74CA499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AR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2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D639C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bsolute">
    <w:name w:val="absolute"/>
    <w:basedOn w:val="Fuentedeprrafopredeter"/>
    <w:rsid w:val="00CC4DA3"/>
  </w:style>
  <w:style w:type="character" w:customStyle="1" w:styleId="inline-flex">
    <w:name w:val="inline-flex"/>
    <w:basedOn w:val="Fuentedeprrafopredeter"/>
    <w:rsid w:val="00CC4DA3"/>
  </w:style>
  <w:style w:type="character" w:customStyle="1" w:styleId="transition-all">
    <w:name w:val="transition-all"/>
    <w:basedOn w:val="Fuentedeprrafopredeter"/>
    <w:rsid w:val="00CC4DA3"/>
  </w:style>
  <w:style w:type="paragraph" w:customStyle="1" w:styleId="font-claude-response-body">
    <w:name w:val="font-claude-response-body"/>
    <w:basedOn w:val="Normal"/>
    <w:rsid w:val="00CC4DA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nfasis">
    <w:name w:val="Emphasis"/>
    <w:basedOn w:val="Fuentedeprrafopredeter"/>
    <w:uiPriority w:val="20"/>
    <w:qFormat/>
    <w:rsid w:val="002F7285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57378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73786"/>
  </w:style>
  <w:style w:type="paragraph" w:styleId="Piedepgina">
    <w:name w:val="footer"/>
    <w:basedOn w:val="Normal"/>
    <w:link w:val="PiedepginaCar"/>
    <w:uiPriority w:val="99"/>
    <w:unhideWhenUsed/>
    <w:rsid w:val="0057378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73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11</Pages>
  <Words>2062</Words>
  <Characters>10850</Characters>
  <Application>Microsoft Office Word</Application>
  <DocSecurity>0</DocSecurity>
  <Lines>328</Lines>
  <Paragraphs>243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Roberto Inza</cp:lastModifiedBy>
  <cp:revision>39</cp:revision>
  <dcterms:created xsi:type="dcterms:W3CDTF">2026-06-02T18:49:00Z</dcterms:created>
  <dcterms:modified xsi:type="dcterms:W3CDTF">2026-06-05T17:09:00Z</dcterms:modified>
</cp:coreProperties>
</file>