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9D4C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58DB5223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70EAE746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9  ·  Junio 2026</w:t>
      </w:r>
    </w:p>
    <w:p w14:paraId="7EB74B1B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58C9538D" w14:textId="77777777" w:rsid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Este capítulo construye sobre las representaciones PAC de Cap04 y Cap05 el arco predictivo del proyecto: desde la cuantificación del acoplamiento entre morfotipos y estados hasta la síntesis en el Risk Score PAC (0–100), un índice de caracterización dinámica retrospectiva. El análisis se organiza en: acoplamiento y dinámica nocturna (§6.2–6.5), modelos predictivos LOPO-CV (§6.6–6.8) y Risk Score PAC (§6.9). La Fig. 6.1 ilustra la arquitectura escalonada y la Tabla 6.1 sintetiza el diseño analítico.</w:t>
      </w:r>
    </w:p>
    <w:p w14:paraId="3E973518" w14:textId="77777777" w:rsidR="00CE33FF" w:rsidRDefault="00CE33FF" w:rsidP="00CE33FF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6.1. Arquitectura escalonada del modelado PAC.</w:t>
      </w:r>
    </w:p>
    <w:p w14:paraId="49DCB0A3" w14:textId="77777777" w:rsidR="00CE33FF" w:rsidRDefault="00CE33FF" w:rsidP="00CE33FF">
      <w:pPr>
        <w:spacing w:after="80"/>
        <w:jc w:val="center"/>
      </w:pPr>
      <w:r>
        <w:rPr>
          <w:noProof/>
        </w:rPr>
        <w:drawing>
          <wp:inline distT="0" distB="0" distL="0" distR="0" wp14:anchorId="49D8524F" wp14:editId="0ADA78AB">
            <wp:extent cx="5200000" cy="2000000"/>
            <wp:effectExtent l="0" t="0" r="0" b="0"/>
            <wp:docPr id="40" name="cap06_concepto_escalera.png" descr="Figura 6.1. Arquitectura escalonada del modelado PAC." title="Figura 6.1. Arquitectura escalonada del modelado P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BAA" w14:textId="77777777" w:rsidR="00CE33FF" w:rsidRPr="00CE33FF" w:rsidRDefault="00CE33FF" w:rsidP="00CE33FF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Cada nivel añade una dimensión analítica que el anterior no capturaba: del evento individual (morfotipo + ARI) al contexto dinámico nocturno (PAC States) y finalmente a la predicción y síntesis en el Risk Score PAC. LOPO-CV: leave-one-patient-out cross-validation.</w:t>
      </w:r>
    </w:p>
    <w:p w14:paraId="3AA4F96A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Los resultados deben interpretarse como generadores de hipótesis; los índices ad hoc (Coupling Index, Risk Score PAC) requieren confirmación en cohortes independientes.</w:t>
      </w:r>
    </w:p>
    <w:p w14:paraId="66013D7C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p w14:paraId="58A0A00D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2529030B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6.2  Acoplamiento morfotipo–estado PAC</w:t>
      </w:r>
    </w:p>
    <w:p w14:paraId="31667B30" w14:textId="2BF124C3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asociación entre morfotipos y estados PAC es real en las tres escalas y decrece al ampliar la ventana temporal: V de Cramér = 0,355 (S), 0,229 (M) y 0,194 (L) sobre 83.892 eventos. El riesgo relativo de evento severo —prevalencia base 5,97 %— alcanza hasta 4,7× en estados patológicos y cae por debajo del 2 % en estados protectores (Figs. 6.</w:t>
      </w:r>
      <w:r w:rsidR="00EB0EA1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y 6.3).</w:t>
      </w:r>
    </w:p>
    <w:p w14:paraId="4390B123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RR = P(severo | estado) / P(severo) marginal. P(severo) marginal = 5,97 % (5.011 eventos C4+C5 / 83.892 totales).</w:t>
      </w:r>
    </w:p>
    <w:p w14:paraId="20E8573F" w14:textId="17B204AD" w:rsidR="00C96A54" w:rsidRPr="00EB0EA1" w:rsidRDefault="00000000">
      <w:pPr>
        <w:spacing w:before="300" w:after="60"/>
        <w:rPr>
          <w:rFonts w:asciiTheme="minorHAnsi" w:hAnsiTheme="minorHAnsi"/>
          <w:b/>
          <w:bCs/>
          <w:sz w:val="20"/>
          <w:szCs w:val="20"/>
        </w:rPr>
      </w:pPr>
      <w:r w:rsidRPr="00EB0EA1">
        <w:rPr>
          <w:rFonts w:asciiTheme="minorHAnsi" w:hAnsiTheme="minorHAnsi"/>
          <w:b/>
          <w:bCs/>
          <w:sz w:val="20"/>
          <w:szCs w:val="20"/>
        </w:rPr>
        <w:t>Figura 6.</w:t>
      </w:r>
      <w:r w:rsidR="00EB0EA1" w:rsidRPr="00EB0EA1">
        <w:rPr>
          <w:rFonts w:asciiTheme="minorHAnsi" w:hAnsiTheme="minorHAnsi"/>
          <w:b/>
          <w:bCs/>
          <w:sz w:val="20"/>
          <w:szCs w:val="20"/>
        </w:rPr>
        <w:t>2</w:t>
      </w:r>
      <w:r w:rsidRPr="00EB0EA1">
        <w:rPr>
          <w:rFonts w:asciiTheme="minorHAnsi" w:hAnsiTheme="minorHAnsi"/>
          <w:b/>
          <w:bCs/>
          <w:sz w:val="20"/>
          <w:szCs w:val="20"/>
        </w:rPr>
        <w:t>. Riesgo relativo (RR) de evento severo por estado PAC en las tres escalas.</w:t>
      </w:r>
    </w:p>
    <w:p w14:paraId="0C67C2F6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5280922E" wp14:editId="2974E014">
            <wp:extent cx="5943600" cy="1739704"/>
            <wp:effectExtent l="0" t="0" r="0" b="0"/>
            <wp:docPr id="200" name="fig6_6_3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3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1E41" w14:textId="77777777" w:rsidR="00C96A54" w:rsidRPr="00453E6B" w:rsidRDefault="00000000">
      <w:pPr>
        <w:spacing w:after="200"/>
        <w:jc w:val="both"/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</w:pP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Nota. Los estados patológicos S6, M1 y L0 presentan los RR más elevados (4,70×, 3,29× y 1,98×). La magnitud del RR decrece con la escala temporal. P(severo) marginal = 5,97 %. Origen: NB05, §2. </w:t>
      </w:r>
      <w:r w:rsidRPr="00453E6B">
        <w:rPr>
          <w:rFonts w:ascii="Segoe UI Symbol" w:hAnsi="Segoe UI Symbol" w:cs="Segoe UI Symbol"/>
          <w:i/>
          <w:iCs/>
          <w:color w:val="747474" w:themeColor="background2" w:themeShade="80"/>
          <w:sz w:val="18"/>
          <w:szCs w:val="18"/>
        </w:rPr>
        <w:t>⚑</w:t>
      </w: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 Prioridad media.</w:t>
      </w:r>
    </w:p>
    <w:p w14:paraId="702850A4" w14:textId="634608EC" w:rsidR="00C96A54" w:rsidRPr="00EB0EA1" w:rsidRDefault="00000000">
      <w:pPr>
        <w:spacing w:before="300" w:after="60"/>
        <w:rPr>
          <w:rFonts w:asciiTheme="minorHAnsi" w:hAnsiTheme="minorHAnsi"/>
          <w:b/>
          <w:bCs/>
          <w:sz w:val="20"/>
          <w:szCs w:val="20"/>
        </w:rPr>
      </w:pPr>
      <w:r w:rsidRPr="00EB0EA1">
        <w:rPr>
          <w:rFonts w:asciiTheme="minorHAnsi" w:hAnsiTheme="minorHAnsi"/>
          <w:b/>
          <w:bCs/>
          <w:sz w:val="20"/>
          <w:szCs w:val="20"/>
        </w:rPr>
        <w:t xml:space="preserve">Figura 6.3. Acoplamiento morfotipo–estado PAC (escala M): esquema conceptual.</w:t>
      </w:r>
    </w:p>
    <w:p w14:paraId="55AAAA26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03C5324A" wp14:editId="6F7DE78C">
            <wp:extent cx="4813300" cy="2653486"/>
            <wp:effectExtent l="0" t="0" r="0" b="1270"/>
            <wp:docPr id="280460478" name="fig6_6_3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3c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365" cy="26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657" w14:textId="77777777" w:rsidR="00C96A54" w:rsidRPr="00453E6B" w:rsidRDefault="00000000">
      <w:pPr>
        <w:spacing w:after="200"/>
        <w:jc w:val="both"/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</w:pP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Nota. El estado fisiológico activo en los 5 min previos predice la morfología de la caída de SpO₂. P(severo | M0) &lt; 2 %; P(severo | M1) ~ 19,6 %. V de Cramér escala M = 0,231. </w:t>
      </w:r>
      <w:r w:rsidRPr="00453E6B">
        <w:rPr>
          <w:rFonts w:ascii="Segoe UI Symbol" w:hAnsi="Segoe UI Symbol" w:cs="Segoe UI Symbol"/>
          <w:i/>
          <w:iCs/>
          <w:color w:val="747474" w:themeColor="background2" w:themeShade="80"/>
          <w:sz w:val="18"/>
          <w:szCs w:val="18"/>
        </w:rPr>
        <w:t>⚑</w:t>
      </w: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 Prioridad alta.</w:t>
      </w:r>
    </w:p>
    <w:p w14:paraId="4B52F59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lastRenderedPageBreak/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6.2 (distribución condicional P(morfotipo|estado)).</w:t>
      </w:r>
    </w:p>
    <w:p w14:paraId="48A54FB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08F0FF59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(CI) es la fracción de eventos severos de cada noche que ocurrió dentro de un estado PAC patológico, calculado en las tres escalas (ci_s, ci_m, ci_l). A diferencia del ODI3, el CI captura el contexto dinámico en que ocurrieron los eventos, no solo su frecuencia (Fig. 6.4).</w:t>
      </w:r>
    </w:p>
    <w:p w14:paraId="2080AC36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ci_s y ci_m son prácticamente independientes (r = 0,066): la concentración en estados patológicos de 30 s no predice el comportamiento en ventanas de 5 min. La correlación moderada ci_m/ci_l (r = 0,291) refleja mayor solapamiento temporal entre escalas contiguas. Esta independencia justifica el uso combinado de las tres métricas sin riesgo de multicolinealidad.</w:t>
      </w:r>
    </w:p>
    <w:p w14:paraId="035B53E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6FD4D40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BF4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D20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F1B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DD6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173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4EB93E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EC3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3A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C09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199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C34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30DBBE5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C2C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2A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B6B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8FB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EA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31E55C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2B7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FA2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6B2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BD5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58B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471393D3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551ADDEB" w14:textId="77777777" w:rsidR="00C96A54" w:rsidRDefault="00000000">
      <w:pPr>
        <w:spacing w:before="300" w:after="60"/>
      </w:pPr>
      <w:r>
        <w:t xml:space="preserve">Figura 6.4. Dos noches con ODI3 = 14 ev/h y Coupling Index opuesto (0,12 vs. 0,75).</w:t>
      </w:r>
    </w:p>
    <w:p w14:paraId="02C0592A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F4AE06" wp14:editId="26C4EEAD">
            <wp:extent cx="5943600" cy="2580277"/>
            <wp:effectExtent l="0" t="0" r="0" b="0"/>
            <wp:docPr id="2052575251" name="fig6_6_5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5c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5D1A" w14:textId="77777777" w:rsidR="00C96A54" w:rsidRDefault="00000000">
      <w:pPr>
        <w:spacing w:after="200"/>
        <w:jc w:val="both"/>
      </w:pPr>
      <w:r>
        <w:t>Nota. La distribución de eventos en zonas protectoras (verde) o patológicas (rojo) determina el CI. El ODI3 no distingue estos perfiles; el CI sí. Valores ilustrativos consistentes con el corpus (NB05 §3). ⚑ Prioridad alta.</w:t>
      </w:r>
    </w:p>
    <w:p w14:paraId="55E574CE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6.11 (coupling index por escala).</w:t>
      </w:r>
    </w:p>
    <w:p w14:paraId="5EBEE2D1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5C105FEA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>Tras un evento severo, la probabilidad de permanecer en estado patológico cae con la escala: 43,3 % a los 30 s, 12,3 % a los 5 min y 1,3 % a los 30 min (Fig. 6.5). La inercia creciente se explica por la dinámica Markoviana: M3 actúa como antesala de M1 —el estado de mayor inercia del sistema— configurando el corredor M0/M2 → M4 → M3 → M1 (Fig. 6.6).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1C370E4B" w14:textId="77777777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74B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639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0F3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BB7E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E49B1CE" w14:textId="77777777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3B0277E7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20A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4C22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874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4B6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D5068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614AC8C1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B5C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88F9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ACD2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D1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4D3B6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110569C1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73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919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0B4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8094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E57A7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17B6BA8D" w14:textId="77777777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581F77DB" w14:textId="77777777" w:rsidR="00C96A54" w:rsidRDefault="00000000">
      <w:pPr>
        <w:spacing w:before="300" w:after="60"/>
      </w:pPr>
      <w:r>
        <w:t xml:space="preserve">Figura 6.5. Dinámica peri-evento y resiliencia fisiológica: esquema conceptual.</w:t>
      </w:r>
    </w:p>
    <w:p w14:paraId="4A45F515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053C29" wp14:editId="1FE1DE84">
            <wp:extent cx="5943600" cy="3276600"/>
            <wp:effectExtent l="0" t="0" r="0" b="0"/>
            <wp:docPr id="859710928" name="fig6_6_6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6c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0F60" w14:textId="77777777" w:rsidR="00C96A54" w:rsidRDefault="00000000">
      <w:pPr>
        <w:spacing w:after="200"/>
        <w:jc w:val="both"/>
      </w:pPr>
      <w:r>
        <w:t>Nota. Probabilidad de permanecer en estado patológico tras evento severo (C4/C5): 43,3 % a los 30 s, 12,3 % a los 5 min, 1,3 % a los 30 min. Corpus: 560 noches (NB05 §4). ⚑ Prioridad alta.</w:t>
      </w:r>
    </w:p>
    <w:p w14:paraId="13D2D388" w14:textId="77777777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6.13 (matrices de transición Markovianas por escala).</w:t>
      </w:r>
    </w:p>
    <w:p w14:paraId="1A09D36A" w14:textId="77777777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362B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 xml:space="preserve">Figura 6.6. Corredor de deterioro Markoviano en escala M.</w:t>
      </w:r>
    </w:p>
    <w:p w14:paraId="512ACCFD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La progresión M0/M2 (protector) → M4 (moderado) → M3 (antesala) → M1 (severo, sin retorno fácil) ilustra la inercia creciente del sistema fisiológico hacia estados de alta carga hipóxica. Los colores codifican el nivel de riesgo: bajo (verde), moderado (naranja claro), alta carga (naranja), severo/inercia alta (rojo). Origen: NB05, Sección 5.</w:t>
      </w:r>
    </w:p>
    <w:p w14:paraId="7206D6A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0B66CA13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(Fig. 6.14, Anexo Suplementario) (Tabla 6.5). </w:t>
      </w:r>
    </w:p>
    <w:p w14:paraId="0162EDEF" w14:textId="77777777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06548B39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91B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D8B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D5B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B2E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98A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8DE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342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434F35B8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AF1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1E1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065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BF6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81B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7B1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94C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7FB912AE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A4F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733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22F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008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ECC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F2D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1C6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5BD32B3B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86E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640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2FD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6B9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CFA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47C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738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4F2E55D1" w14:textId="77777777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3F9F1588" w14:textId="77777777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caracteriza cada fenotipo en seis dimensiones. Las más discriminantes son frac_M1 —78,1 % de la noche en CHA frente al 2,5 % en Estable-Protector— y el número de transiciones M, que en CHA se reduce a 6 (frente a 43 en Carga Intermedia): el fenotipo severo no alterna estados, los ocupa de forma monótona. La entropía M confirma este patrón: baja entropía, pocas transiciones, dominancia sostenida.</w:t>
      </w:r>
    </w:p>
    <w:p w14:paraId="5509DDBE" w14:textId="77777777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hallazgo central es que CHA aparece predominantemente en pacientes con severidad AASM Moderada, evidenciando discordancia entre índice de frecuencia y fenotipo dinámico: un ODI3 igual puede esconder arquitecturas nocturnas radicalmente distintas. El ARI es prácticamente invariante entre fenotipos (diferencia máxima &lt; 0,25), confirmando su independencia respecto a la arquitectura de severidad dinámica.</w:t>
      </w:r>
    </w:p>
    <w:p w14:paraId="768CABF8" w14:textId="77777777" w:rsidR="002F7285" w:rsidRPr="002F7285" w:rsidRDefault="002F7285" w:rsidP="002F7285">
      <w:pPr>
        <w:pStyle w:val="Ttulo2"/>
      </w:pPr>
      <w:r>
        <w:t>6.6 Importancia predictiva de las features PAC: ablación LOPO-CV</w:t>
      </w:r>
    </w:p>
    <w:p w14:paraId="0DAE4328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715304F5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Los estados PAC concentran el 44,8 % de la importancia Gini total (Fig. 6.7), seguidos por morfotipos (20,6 %) y dinámica PAC (14,7 %). El modelo PAC-only alcanza balanced accuracy = 0,521 ± 0,218, superando al de índices clínicos convencionales (0,354 ± 0,294). El ARI solo obtiene la balanced accuracy más baja (0,281 ± 0,150), coherente con su ortogonalidad respecto a la severidad AASM.</w:t>
      </w:r>
    </w:p>
    <w:p w14:paraId="18F22A62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03EA011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C35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0DB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09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A6E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523D7F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0E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A59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C8F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1C5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3E4ACA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728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3F6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C35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AD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7D3991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AB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56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20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75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4F72EB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092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95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88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64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7BC0B0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1F4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03F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DE2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DD6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07F6A3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5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2CA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530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86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1BEE3611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1C9CE0BA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 xml:space="preserve">Figura 6.7. Ablación por grupo de features — balanced accuracy LOPO-CV (clasificación multiclase, 4 categorías AASM).</w:t>
      </w:r>
    </w:p>
    <w:p w14:paraId="4965FC0A" w14:textId="77777777" w:rsidR="00C96A5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13A5469" wp14:editId="75C5296A">
            <wp:extent cx="5400000" cy="2050103"/>
            <wp:effectExtent l="0" t="0" r="0" b="0"/>
            <wp:docPr id="41" name="06_ablation_study.png" descr="Figura 6.8. Ablación por grupo de features — balanced accuracy LOPO-CV (clasificación multiclase, 4 categorías AASM)." title="Figura 6.8. Ablación por grupo de features — balanced accuracy LOPO-CV (clasificación multiclase, 4 categorías AAS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583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Barras = media ± SD sobre 8 folds LOPO-CV. Los PAC States concentran el 44,8 % de la importancia Gini total. El modelo PAC States + Dinámica PAC supera al modelo basado en índices clínicos convencionales (0,521 vs. 0,354 balanced accuracy).</w:t>
      </w:r>
    </w:p>
    <w:p w14:paraId="7E45E02C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59B5F32A" w14:textId="77777777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>El modelo de predicción de evento severo (NB07 Bloque B) estima la probabilidad de que un EDO sea morfológicamente severo (C4 o C5) a partir del estado PAC activo y la historia acumulada de la noche, sin utilizar características del evento en curso.</w:t>
      </w:r>
    </w:p>
    <w:p w14:paraId="343E83C6" w14:textId="77777777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Sobre 76.053 eventos (prevalencia positiva: 5,57 %), el LightGBM supera a la logística: AUC = 0,878 vs. 0,743; AP = 0,240 vs. 0,164 (Tabla 6.7). Las features más predictivas son contextos acumulados: event_position, recent_morph_mean y ci_so_far —el riesgo se acumula progresivamente dentro de la noche más que en el evento individual.</w:t>
      </w:r>
    </w:p>
    <w:p w14:paraId="5D5223E3" w14:textId="77777777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14713A5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96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E02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76B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FAA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F7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7FE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6EE63D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910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DF8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1B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7F1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8C3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6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2357DE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3AE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82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B59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3AB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68E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0A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7D05ED3B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676AE997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6.15 (curvas ROC y Precision-Recall comparativas).</w:t>
      </w:r>
    </w:p>
    <w:p w14:paraId="0B903B1F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3738D201" w14:textId="77777777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modelo de clasificación nocturna (NB07 Bloque C) distingue Normal+Leve de Moderado+Severo sobre 540 noches (32,0 % positivos). La logística supera al Random Forest: AUC = 0,874 vs. 0,815; AP = 0,764 vs. 0,649 (Tabla 6.8, Fig. 6.8), sugiriendo separación aproximadamente lineal una vez transformadas las señales en dimensiones PAC. Las features dominantes son fracciones de estados M (69,4 % de la importancia combinada), consistente con que M1 es el mejor predictor de carga hipóxica acumulada (Cap05). El modelo no solo funciona: lo hace por las razones fisiológicas correctas.</w:t>
      </w:r>
    </w:p>
    <w:p w14:paraId="19DD3D9E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71F3EED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944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B61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AC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792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0A4FFD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6D6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D4A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60F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AA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6A0103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A2E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8AB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14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B97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43EA2873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091EA9AF" w14:textId="77777777" w:rsidR="00C96A54" w:rsidRDefault="00000000">
      <w:pPr>
        <w:spacing w:before="300" w:after="60"/>
      </w:pPr>
      <w:r>
        <w:t xml:space="preserve">Figura 6.8. Curvas ROC y Precision-Recall para la clasificación nocturna binaria (NB07 Bloque C).</w:t>
      </w:r>
    </w:p>
    <w:p w14:paraId="7860533F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223DE7" wp14:editId="37AD997D">
            <wp:extent cx="5943600" cy="2474832"/>
            <wp:effectExtent l="0" t="0" r="0" b="0"/>
            <wp:docPr id="2036060226" name="fig6_6_10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10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C54" w14:textId="77777777" w:rsidR="00C96A54" w:rsidRDefault="00000000">
      <w:pPr>
        <w:spacing w:after="200"/>
        <w:jc w:val="both"/>
      </w:pPr>
      <w:r>
        <w:t>Nota. Logística: AUC = 0,874, AP = 0,764. Random Forest: AUC = 0,815, AP = 0,649. Baseline AP = 0,320 (prevalencia). n = 540 noches, 8 pacientes. Origen: NB07, Bloque C. ⚑ Prioridad media.</w:t>
      </w:r>
    </w:p>
    <w:p w14:paraId="53223055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61A50119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integra la probabilidad de evento severo (§6.7, peso 40 %) y la probabilidad de noche de alto riesgo (§6.8, peso 60 %) en un índice 0–100 (Tabla 6.9).</w:t>
      </w:r>
    </w:p>
    <w:p w14:paraId="1227FC38" w14:textId="77777777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2303A58C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1FF4D945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9DF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BA3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B35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E4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15EED11D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EB4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4DE" w14:textId="77777777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A0D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61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41114A0F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050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A511" w14:textId="77777777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75B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912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4F52EBB4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3B293274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score muestra gradiente monótono: medianas de 29,2 (Normal), 29,4 (Leve), 72,9 (Moderado) y 81,0 (Severo). La proximidad Normal/Leve refleja el solapamiento de sus perfiles dinámicos en la cohorte (Fig. 6.9).</w:t>
      </w:r>
    </w:p>
    <w:p w14:paraId="368172B8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umbral de 60 puntos captura el 100 % de las noches Severas y el 77,6 % de las Moderadas con 9,4 % de falsos positivos en Leve. El Risk Score es un índice de caracterización dinámica retrospectiva —no monitoreo en tiempo real—, útil para fenotipado post-diagnóstico y detección de noches con riesgo oculto.</w:t>
      </w:r>
    </w:p>
    <w:p w14:paraId="1F1AC9DF" w14:textId="77777777" w:rsidR="00C96A54" w:rsidRDefault="00000000">
      <w:pPr>
        <w:spacing w:before="300" w:after="60"/>
      </w:pPr>
      <w:r>
        <w:t xml:space="preserve">Figura 6.9. Distribución del Risk Score PAC (0–100) por categoría clínica AASM.</w:t>
      </w:r>
    </w:p>
    <w:p w14:paraId="61BF3F5C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19E630B2" wp14:editId="2EE6DFCD">
            <wp:extent cx="5943600" cy="2279147"/>
            <wp:effectExtent l="0" t="0" r="0" b="0"/>
            <wp:docPr id="286717996" name="fig6_6_11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11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93FA" w14:textId="77777777" w:rsidR="00C96A54" w:rsidRDefault="00000000">
      <w:pPr>
        <w:spacing w:after="200"/>
        <w:jc w:val="both"/>
      </w:pPr>
      <w:r>
        <w:t>Nota. Medianas: 29,2 (Normal) / 29,4 (Leve) / 72,9 (Moderado) / 81,0 (Severo). Umbral 60: captura 100 % Severas, 77,6 % Moderadas, 9,4 % Leves. n = 540 noches. Origen: NB07, Bloque D. ⚑ Prioridad media.</w:t>
      </w:r>
    </w:p>
    <w:p w14:paraId="5BAF9258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798E2078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 n = 8 en la cohorte estricta, el LOPO-CV produce ocho puntos de rendimiento independientes: suficientes para estimar tendencias, no para certificación clínica. La </w:t>
      </w:r>
      <w:r>
        <w:rPr>
          <w:rFonts w:asciiTheme="minorHAnsi" w:hAnsiTheme="minorHAnsi"/>
        </w:rPr>
        <w:lastRenderedPageBreak/>
        <w:t>varianza entre folds (AUC evento: 0,798–0,964) refleja heterogeneidad fisiológica real. La ausencia de polisomnografía concurrente restringe la comparación directa con el AHI.</w:t>
      </w:r>
    </w:p>
    <w:p w14:paraId="5C80937A" w14:textId="77777777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requiere calibración externa y validación prospectiva antes de cualquier uso asistencial. La predicción en tiempo real con lead time explícito es objeto del Capítulo 8; las implicaciones clínicas se retoman en el Capítulo 9.</w:t>
      </w:r>
    </w:p>
    <w:p w14:paraId="4BA6A123" w14:textId="77777777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16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8AF81" w14:textId="77777777" w:rsidR="00AF5B3D" w:rsidRDefault="00AF5B3D">
      <w:r>
        <w:separator/>
      </w:r>
    </w:p>
  </w:endnote>
  <w:endnote w:type="continuationSeparator" w:id="0">
    <w:p w14:paraId="06D637BB" w14:textId="77777777" w:rsidR="00AF5B3D" w:rsidRDefault="00AF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EC2F" w14:textId="77777777" w:rsidR="00AF5B3D" w:rsidRDefault="00AF5B3D">
      <w:r>
        <w:separator/>
      </w:r>
    </w:p>
  </w:footnote>
  <w:footnote w:type="continuationSeparator" w:id="0">
    <w:p w14:paraId="25B50C2E" w14:textId="77777777" w:rsidR="00AF5B3D" w:rsidRDefault="00AF5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C29A" w14:textId="77777777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D569F"/>
    <w:rsid w:val="002F607E"/>
    <w:rsid w:val="002F7285"/>
    <w:rsid w:val="00386647"/>
    <w:rsid w:val="003A0B49"/>
    <w:rsid w:val="003A173E"/>
    <w:rsid w:val="00407470"/>
    <w:rsid w:val="0042185E"/>
    <w:rsid w:val="00453E6B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9C49D7"/>
    <w:rsid w:val="00A03C7F"/>
    <w:rsid w:val="00A10CEA"/>
    <w:rsid w:val="00A4213E"/>
    <w:rsid w:val="00A9687A"/>
    <w:rsid w:val="00AF13E8"/>
    <w:rsid w:val="00AF5B3D"/>
    <w:rsid w:val="00BA0B19"/>
    <w:rsid w:val="00C76BF5"/>
    <w:rsid w:val="00C96A54"/>
    <w:rsid w:val="00CA34F0"/>
    <w:rsid w:val="00CB29B7"/>
    <w:rsid w:val="00CC2EEF"/>
    <w:rsid w:val="00CC4DA3"/>
    <w:rsid w:val="00CD7DAA"/>
    <w:rsid w:val="00CE33FF"/>
    <w:rsid w:val="00D43F7C"/>
    <w:rsid w:val="00D54A6F"/>
    <w:rsid w:val="00D639C0"/>
    <w:rsid w:val="00D71786"/>
    <w:rsid w:val="00E67DFE"/>
    <w:rsid w:val="00E70F72"/>
    <w:rsid w:val="00E9554E"/>
    <w:rsid w:val="00EA2E08"/>
    <w:rsid w:val="00EB0EA1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35BBED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2062</Words>
  <Characters>10850</Characters>
  <Application>Microsoft Office Word</Application>
  <DocSecurity>0</DocSecurity>
  <Lines>328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39</cp:revision>
  <dcterms:created xsi:type="dcterms:W3CDTF">2026-06-02T18:49:00Z</dcterms:created>
  <dcterms:modified xsi:type="dcterms:W3CDTF">2026-06-05T17:09:00Z</dcterms:modified>
</cp:coreProperties>
</file>