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lastRenderedPageBreak/>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2B1F6643"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xml:space="preserve">▸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 xml:space="preserve">El fenotipo CHA, ya identificado en Cap05, se manifiesta predominantemente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 xml:space="preserve">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B659" w14:textId="77777777" w:rsidR="00874470" w:rsidRDefault="00874470">
      <w:r>
        <w:separator/>
      </w:r>
    </w:p>
  </w:endnote>
  <w:endnote w:type="continuationSeparator" w:id="0">
    <w:p w14:paraId="576601DF" w14:textId="77777777" w:rsidR="00874470" w:rsidRDefault="0087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BE6B" w14:textId="77777777" w:rsidR="00874470" w:rsidRDefault="00874470">
      <w:r>
        <w:separator/>
      </w:r>
    </w:p>
  </w:footnote>
  <w:footnote w:type="continuationSeparator" w:id="0">
    <w:p w14:paraId="4772E04E" w14:textId="77777777" w:rsidR="00874470" w:rsidRDefault="00874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2631</Words>
  <Characters>13789</Characters>
  <Application>Microsoft Office Word</Application>
  <DocSecurity>0</DocSecurity>
  <Lines>405</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2026-06-05T21:12:00Z</dcterms:created>
  <dcterms:modified xsi:type="dcterms:W3CDTF">2026-06-05T21:14:00Z</dcterms:modified>
</cp:coreProperties>
</file>