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C9D4C" w14:textId="77777777" w:rsidR="00A9687A" w:rsidRPr="00D639C0" w:rsidRDefault="00000000" w:rsidP="00D639C0">
      <w:pPr>
        <w:spacing w:after="80"/>
        <w:rPr>
          <w:color w:val="747474" w:themeColor="background2" w:themeShade="80"/>
          <w:sz w:val="20"/>
          <w:szCs w:val="20"/>
        </w:rPr>
      </w:pPr>
      <w:r>
        <w:rPr>
          <w:b/>
          <w:bCs/>
          <w:color w:val="747474" w:themeColor="background2" w:themeShade="80"/>
          <w:sz w:val="20"/>
          <w:szCs w:val="20"/>
        </w:rPr>
        <w:t>CAPÍTULO 6</w:t>
      </w:r>
    </w:p>
    <w:p w14:paraId="58DB5223" w14:textId="77777777" w:rsidR="00A9687A" w:rsidRPr="00D639C0" w:rsidRDefault="00000000" w:rsidP="00D639C0">
      <w:pPr>
        <w:spacing w:after="80"/>
        <w:rPr>
          <w:color w:val="002060"/>
          <w:sz w:val="36"/>
          <w:szCs w:val="36"/>
        </w:rPr>
      </w:pPr>
      <w:r>
        <w:rPr>
          <w:b/>
          <w:bCs/>
          <w:color w:val="002060"/>
          <w:sz w:val="36"/>
          <w:szCs w:val="36"/>
        </w:rPr>
        <w:t>Modelado Predictivo Basado en PAC: Acoplamiento, Severidad y Riesgo Fisiológico Nocturno</w:t>
      </w:r>
    </w:p>
    <w:p w14:paraId="70EAE746" w14:textId="77777777" w:rsidR="00A9687A" w:rsidRPr="00D639C0" w:rsidRDefault="00000000" w:rsidP="00D639C0">
      <w:pPr>
        <w:spacing w:after="400"/>
        <w:rPr>
          <w:sz w:val="18"/>
          <w:szCs w:val="18"/>
        </w:rPr>
      </w:pPr>
      <w:r>
        <w:rPr>
          <w:i/>
          <w:iCs/>
          <w:color w:val="666666"/>
          <w:sz w:val="18"/>
          <w:szCs w:val="18"/>
        </w:rPr>
        <w:t>Versión 9  ·  Junio 2026</w:t>
      </w:r>
    </w:p>
    <w:p w14:paraId="7EB74B1B" w14:textId="77777777" w:rsidR="00A9687A" w:rsidRPr="00D639C0" w:rsidRDefault="00000000" w:rsidP="00D639C0">
      <w:pPr>
        <w:pStyle w:val="Ttulo2"/>
        <w:spacing w:line="360" w:lineRule="auto"/>
        <w:rPr>
          <w:rFonts w:asciiTheme="minorHAnsi" w:hAnsiTheme="minorHAnsi"/>
          <w:color w:val="002060"/>
        </w:rPr>
      </w:pPr>
      <w:r>
        <w:rPr>
          <w:rFonts w:asciiTheme="minorHAnsi" w:hAnsiTheme="minorHAnsi"/>
          <w:color w:val="002060"/>
        </w:rPr>
        <w:t>6.1  Contexto, corpus y diseño analítico</w:t>
      </w:r>
    </w:p>
    <w:p w14:paraId="58C9538D" w14:textId="77777777" w:rsidR="00386647" w:rsidRDefault="00386647" w:rsidP="00386647">
      <w:pPr>
        <w:pStyle w:val="font-claude-response-body"/>
        <w:spacing w:line="360" w:lineRule="auto"/>
        <w:jc w:val="both"/>
        <w:rPr>
          <w:rFonts w:asciiTheme="minorHAnsi" w:hAnsiTheme="minorHAnsi"/>
        </w:rPr>
      </w:pPr>
      <w:r>
        <w:rPr>
          <w:rFonts w:asciiTheme="minorHAnsi" w:hAnsiTheme="minorHAnsi"/>
        </w:rPr>
        <w:t>Este capítulo construye sobre las representaciones PAC de Cap04 y Cap05 el arco predictivo del proyecto: desde la cuantificación del acoplamiento entre morfotipos y estados hasta la síntesis en el Risk Score PAC (0–100), un índice de caracterización dinámica retrospectiva. La Fig. 6.1 ilustra la arquitectura escalonada y la Tabla 6.1 sintetiza el diseño analítico.</w:t>
      </w:r>
    </w:p>
    <w:p w14:paraId="3E973518" w14:textId="77777777" w:rsidR="00CE33FF" w:rsidRDefault="00CE33FF" w:rsidP="00CE33FF">
      <w:pPr>
        <w:spacing w:before="300" w:after="60"/>
      </w:pPr>
      <w:r>
        <w:rPr>
          <w:rFonts w:asciiTheme="minorHAnsi" w:hAnsiTheme="minorHAnsi"/>
          <w:b/>
          <w:bCs/>
          <w:sz w:val="20"/>
          <w:szCs w:val="20"/>
        </w:rPr>
        <w:t>Figura 6.1. Arquitectura escalonada del modelado PAC.</w:t>
      </w:r>
    </w:p>
    <w:p w14:paraId="49DCB0A3" w14:textId="77777777" w:rsidR="00CE33FF" w:rsidRDefault="00CE33FF" w:rsidP="00CE33FF">
      <w:pPr>
        <w:spacing w:after="80"/>
        <w:jc w:val="center"/>
      </w:pPr>
      <w:r>
        <w:rPr>
          <w:noProof/>
        </w:rPr>
        <w:drawing>
          <wp:inline distT="0" distB="0" distL="0" distR="0" wp14:anchorId="49D8524F" wp14:editId="0ADA78AB">
            <wp:extent cx="5200000" cy="2000000"/>
            <wp:effectExtent l="0" t="0" r="0" b="0"/>
            <wp:docPr id="40" name="cap06_concepto_escalera.png" descr="Figura 6.1. Arquitectura escalonada del modelado PAC." title="Figura 6.1. Arquitectura escalonada del modelado P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200000" cy="2000000"/>
                    </a:xfrm>
                    <a:prstGeom prst="rect">
                      <a:avLst/>
                    </a:prstGeom>
                  </pic:spPr>
                </pic:pic>
              </a:graphicData>
            </a:graphic>
          </wp:inline>
        </w:drawing>
      </w:r>
    </w:p>
    <w:p w14:paraId="32712BAA" w14:textId="77777777" w:rsidR="00CE33FF" w:rsidRPr="00CE33FF" w:rsidRDefault="00CE33FF" w:rsidP="00CE33FF">
      <w:pPr>
        <w:spacing w:after="200"/>
        <w:jc w:val="both"/>
      </w:pPr>
      <w:r>
        <w:rPr>
          <w:rFonts w:asciiTheme="minorHAnsi" w:hAnsiTheme="minorHAnsi"/>
          <w:i/>
          <w:iCs/>
          <w:sz w:val="18"/>
          <w:szCs w:val="18"/>
        </w:rPr>
        <w:t>Nota. Cada nivel añade una dimensión analítica que el anterior no capturaba: del evento individual (morfotipo + ARI) al contexto dinámico nocturno (PAC States) y finalmente a la predicción y síntesis en el Risk Score PAC. LOPO-CV: leave-one-patient-out cross-validation.</w:t>
      </w:r>
    </w:p>
    <w:p w14:paraId="66013D7C" w14:textId="77777777" w:rsidR="00A9687A" w:rsidRDefault="00000000" w:rsidP="00D639C0">
      <w:pPr>
        <w:spacing w:before="200" w:after="60" w:line="360" w:lineRule="auto"/>
        <w:rPr>
          <w:rFonts w:asciiTheme="minorHAnsi" w:hAnsiTheme="minorHAnsi"/>
          <w:b/>
          <w:bCs/>
          <w:sz w:val="20"/>
          <w:szCs w:val="20"/>
        </w:rPr>
      </w:pPr>
      <w:r>
        <w:rPr>
          <w:rFonts w:asciiTheme="minorHAnsi" w:hAnsiTheme="minorHAnsi"/>
          <w:b/>
          <w:bCs/>
          <w:sz w:val="20"/>
          <w:szCs w:val="20"/>
        </w:rPr>
        <w:t>Tabla 6.1. Resumen del diseño predictivo del Capítulo 6.</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1"/>
        <w:gridCol w:w="2403"/>
        <w:gridCol w:w="985"/>
        <w:gridCol w:w="2126"/>
        <w:gridCol w:w="1971"/>
      </w:tblGrid>
      <w:tr w:rsidR="00AA0194" w14:paraId="6BBA8DFE" w14:textId="77777777" w:rsidTr="00E72CB4">
        <w:trPr>
          <w:tblHeader/>
        </w:trPr>
        <w:tc>
          <w:tcPr>
            <w:tcW w:w="9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47CC00B5" w14:textId="77777777" w:rsidR="00AA0194" w:rsidRDefault="00AA0194" w:rsidP="00E72CB4">
            <w:r>
              <w:rPr>
                <w:b/>
                <w:bCs/>
                <w:color w:val="FFFFFF"/>
                <w:sz w:val="19"/>
                <w:szCs w:val="19"/>
              </w:rPr>
              <w:t>Nivel</w:t>
            </w:r>
          </w:p>
        </w:tc>
        <w:tc>
          <w:tcPr>
            <w:tcW w:w="2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784406DA" w14:textId="77777777" w:rsidR="00AA0194" w:rsidRDefault="00AA0194" w:rsidP="00E72CB4">
            <w:r>
              <w:rPr>
                <w:b/>
                <w:bCs/>
                <w:color w:val="FFFFFF"/>
                <w:sz w:val="19"/>
                <w:szCs w:val="19"/>
              </w:rPr>
              <w:t>Tarea predictiva</w:t>
            </w:r>
          </w:p>
        </w:tc>
        <w:tc>
          <w:tcPr>
            <w:tcW w:w="1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4C7D6FF" w14:textId="77777777" w:rsidR="00AA0194" w:rsidRDefault="00AA0194" w:rsidP="00E72CB4">
            <w:r>
              <w:rPr>
                <w:b/>
                <w:bCs/>
                <w:color w:val="FFFFFF"/>
                <w:sz w:val="19"/>
                <w:szCs w:val="19"/>
              </w:rPr>
              <w:t>NB</w:t>
            </w:r>
          </w:p>
        </w:tc>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18FF3F0" w14:textId="77777777" w:rsidR="00AA0194" w:rsidRDefault="00AA0194" w:rsidP="00E72CB4">
            <w:r>
              <w:rPr>
                <w:b/>
                <w:bCs/>
                <w:color w:val="FFFFFF"/>
                <w:sz w:val="19"/>
                <w:szCs w:val="19"/>
              </w:rPr>
              <w:t>Modelo</w:t>
            </w:r>
          </w:p>
        </w:tc>
        <w:tc>
          <w:tcPr>
            <w:tcW w:w="2066"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vAlign w:val="center"/>
          </w:tcPr>
          <w:p w14:paraId="6A8E2F54" w14:textId="77777777" w:rsidR="00AA0194" w:rsidRDefault="00AA0194" w:rsidP="00E72CB4">
            <w:r>
              <w:rPr>
                <w:b/>
                <w:bCs/>
                <w:color w:val="FFFFFF"/>
                <w:sz w:val="19"/>
                <w:szCs w:val="19"/>
              </w:rPr>
              <w:t>Cohorte</w:t>
            </w:r>
          </w:p>
        </w:tc>
      </w:tr>
      <w:tr w:rsidR="00AA0194" w14:paraId="46D9B258"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E6395D" w14:textId="77777777" w:rsidR="00AA0194" w:rsidRDefault="00AA0194" w:rsidP="00E72CB4">
            <w:r>
              <w:rPr>
                <w:sz w:val="19"/>
                <w:szCs w:val="19"/>
              </w:rPr>
              <w:t>Evento</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39ACD" w14:textId="77777777" w:rsidR="00AA0194" w:rsidRDefault="00AA0194" w:rsidP="00E72CB4">
            <w:r>
              <w:rPr>
                <w:sz w:val="19"/>
                <w:szCs w:val="19"/>
              </w:rPr>
              <w:t>Clasificación evento severo C4/C5 (lead time ~5 min)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C66140" w14:textId="77777777" w:rsidR="00AA0194" w:rsidRDefault="00AA0194" w:rsidP="00E72CB4">
            <w:r>
              <w:rPr>
                <w:sz w:val="19"/>
                <w:szCs w:val="19"/>
              </w:rPr>
              <w:t>NB07 Bloque B</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8D7F42" w14:textId="77777777" w:rsidR="00AA0194" w:rsidRDefault="00AA0194" w:rsidP="00E72CB4">
            <w:r>
              <w:rPr>
                <w:sz w:val="19"/>
                <w:szCs w:val="19"/>
              </w:rPr>
              <w:t>LightGBM vs. LR basal</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57EADC" w14:textId="77777777" w:rsidR="00AA0194" w:rsidRDefault="00AA0194" w:rsidP="00E72CB4">
            <w:r>
              <w:rPr>
                <w:sz w:val="19"/>
                <w:szCs w:val="19"/>
              </w:rPr>
              <w:t>8 pac., 76.053 ev.</w:t>
            </w:r>
          </w:p>
        </w:tc>
      </w:tr>
      <w:tr w:rsidR="00AA0194" w14:paraId="0D4F6167"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9BAB31"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7034CBE" w14:textId="77777777" w:rsidR="00AA0194" w:rsidRDefault="00AA0194" w:rsidP="00E72CB4">
            <w:r>
              <w:rPr>
                <w:sz w:val="19"/>
                <w:szCs w:val="19"/>
              </w:rPr>
              <w:t>Clasificación binaria Normal+Leve vs. Mod.+Sev.</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4A3FBF9" w14:textId="77777777" w:rsidR="00AA0194" w:rsidRDefault="00AA0194" w:rsidP="00E72CB4">
            <w:r>
              <w:rPr>
                <w:sz w:val="19"/>
                <w:szCs w:val="19"/>
              </w:rPr>
              <w:t>NB07 Bloque C</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2066F53" w14:textId="77777777" w:rsidR="00AA0194" w:rsidRDefault="00AA0194" w:rsidP="00E72CB4">
            <w:r>
              <w:rPr>
                <w:sz w:val="19"/>
                <w:szCs w:val="19"/>
              </w:rPr>
              <w:t>Regresión logística vs. RF</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BE9A443" w14:textId="77777777" w:rsidR="00AA0194" w:rsidRDefault="00AA0194" w:rsidP="00E72CB4">
            <w:r>
              <w:rPr>
                <w:sz w:val="19"/>
                <w:szCs w:val="19"/>
              </w:rPr>
              <w:t>8 pac., 540 noches</w:t>
            </w:r>
          </w:p>
        </w:tc>
      </w:tr>
      <w:tr w:rsidR="00AA0194" w14:paraId="797FD5A6"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5875B3" w14:textId="77777777" w:rsidR="00AA0194" w:rsidRDefault="00AA0194" w:rsidP="00E72CB4">
            <w:r>
              <w:rPr>
                <w:sz w:val="19"/>
                <w:szCs w:val="19"/>
              </w:rPr>
              <w:t>Noche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8203C" w14:textId="77777777" w:rsidR="00AA0194" w:rsidRDefault="00AA0194" w:rsidP="00E72CB4">
            <w:r>
              <w:rPr>
                <w:sz w:val="19"/>
                <w:szCs w:val="19"/>
              </w:rPr>
              <w:t>Clasificación multiclase AASM — ablación features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946DB" w14:textId="77777777" w:rsidR="00AA0194" w:rsidRDefault="00AA0194" w:rsidP="00E72CB4">
            <w:r>
              <w:rPr>
                <w:sz w:val="19"/>
                <w:szCs w:val="19"/>
              </w:rPr>
              <w:t>NB06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02E15" w14:textId="77777777" w:rsidR="00AA0194" w:rsidRDefault="00AA0194" w:rsidP="00E72CB4">
            <w:r>
              <w:rPr>
                <w:sz w:val="19"/>
                <w:szCs w:val="19"/>
              </w:rPr>
              <w:t>Random Forest</w:t>
            </w:r>
          </w:p>
        </w:tc>
        <w:tc>
          <w:tcPr>
            <w:tcW w:w="20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8C1B" w14:textId="77777777" w:rsidR="00AA0194" w:rsidRDefault="00AA0194" w:rsidP="00E72CB4">
            <w:r>
              <w:rPr>
                <w:sz w:val="19"/>
                <w:szCs w:val="19"/>
              </w:rPr>
              <w:t>8 pac., 540 noches</w:t>
            </w:r>
          </w:p>
        </w:tc>
      </w:tr>
      <w:tr w:rsidR="00AA0194" w14:paraId="1F271211" w14:textId="77777777" w:rsidTr="00E72CB4">
        <w:tc>
          <w:tcPr>
            <w:tcW w:w="9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38344C73" w14:textId="77777777" w:rsidR="00AA0194" w:rsidRDefault="00AA0194" w:rsidP="00E72CB4">
            <w:r>
              <w:rPr>
                <w:sz w:val="19"/>
                <w:szCs w:val="19"/>
              </w:rPr>
              <w:lastRenderedPageBreak/>
              <w:t>Integración</w:t>
            </w:r>
          </w:p>
        </w:tc>
        <w:tc>
          <w:tcPr>
            <w:tcW w:w="25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49659717" w14:textId="77777777" w:rsidR="00AA0194" w:rsidRDefault="00AA0194" w:rsidP="00E72CB4">
            <w:r>
              <w:rPr>
                <w:sz w:val="19"/>
                <w:szCs w:val="19"/>
              </w:rPr>
              <w:t>Índice de riesgo nocturno Risk Score 0–100</w:t>
            </w:r>
          </w:p>
        </w:tc>
        <w:tc>
          <w:tcPr>
            <w:tcW w:w="10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596239DA" w14:textId="77777777" w:rsidR="00AA0194" w:rsidRDefault="00AA0194" w:rsidP="00E72CB4">
            <w:r>
              <w:rPr>
                <w:sz w:val="19"/>
                <w:szCs w:val="19"/>
              </w:rPr>
              <w:t>NB07 Bloque D</w:t>
            </w:r>
          </w:p>
        </w:tc>
        <w:tc>
          <w:tcPr>
            <w:tcW w:w="2200"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28523AA3" w14:textId="77777777" w:rsidR="00AA0194" w:rsidRDefault="00AA0194" w:rsidP="00E72CB4">
            <w:r>
              <w:rPr>
                <w:sz w:val="19"/>
                <w:szCs w:val="19"/>
              </w:rPr>
              <w:t>Combinación ponderada</w:t>
            </w:r>
          </w:p>
        </w:tc>
        <w:tc>
          <w:tcPr>
            <w:tcW w:w="2066" w:type="dxa"/>
            <w:tcBorders>
              <w:top w:val="single" w:sz="1" w:space="0" w:color="CCCCCC"/>
              <w:left w:val="single" w:sz="1" w:space="0" w:color="CCCCCC"/>
              <w:bottom w:val="single" w:sz="1" w:space="0" w:color="CCCCCC"/>
              <w:right w:val="single" w:sz="1" w:space="0" w:color="CCCCCC"/>
            </w:tcBorders>
            <w:shd w:val="clear" w:color="auto" w:fill="EBF0F8"/>
            <w:tcMar>
              <w:top w:w="80" w:type="dxa"/>
              <w:left w:w="120" w:type="dxa"/>
              <w:bottom w:w="80" w:type="dxa"/>
              <w:right w:w="120" w:type="dxa"/>
            </w:tcMar>
          </w:tcPr>
          <w:p w14:paraId="75A03BE7" w14:textId="77777777" w:rsidR="00AA0194" w:rsidRDefault="00AA0194" w:rsidP="00E72CB4">
            <w:r>
              <w:rPr>
                <w:sz w:val="19"/>
                <w:szCs w:val="19"/>
              </w:rPr>
              <w:t>Cohorte estricta</w:t>
            </w:r>
          </w:p>
        </w:tc>
      </w:tr>
    </w:tbl>
    <w:p w14:paraId="58A0A00D" w14:textId="77777777" w:rsidR="00A9687A" w:rsidRPr="00AA0194" w:rsidRDefault="00000000" w:rsidP="00AF13E8">
      <w:pPr>
        <w:spacing w:before="240" w:after="100"/>
        <w:jc w:val="both"/>
        <w:rPr>
          <w:rFonts w:asciiTheme="minorHAnsi" w:hAnsiTheme="minorHAnsi"/>
          <w:color w:val="747474" w:themeColor="background2" w:themeShade="80"/>
          <w:sz w:val="18"/>
          <w:szCs w:val="18"/>
        </w:rPr>
      </w:pPr>
      <w:r w:rsidRPr="00AA0194">
        <w:rPr>
          <w:rFonts w:asciiTheme="minorHAnsi" w:hAnsiTheme="minorHAnsi"/>
          <w:i/>
          <w:iCs/>
          <w:color w:val="747474" w:themeColor="background2" w:themeShade="80"/>
          <w:sz w:val="18"/>
          <w:szCs w:val="18"/>
        </w:rPr>
        <w:t>Nota. LOPO-CV: leave-one-patient-out cross-validation; n efectivo = 8 pacientes. El análisis de acoplamiento opera sobre la cohorte completa (12 pac., 83.892 eventos). Los modelos predictivos operan sobre la cohorte estricta (8 pac., 540 noches).</w:t>
      </w:r>
    </w:p>
    <w:p w14:paraId="2529030B" w14:textId="77777777" w:rsidR="00A9687A" w:rsidRPr="00D639C0" w:rsidRDefault="00000000" w:rsidP="00D639C0">
      <w:pPr>
        <w:pStyle w:val="Ttulo2"/>
        <w:spacing w:line="360" w:lineRule="auto"/>
        <w:rPr>
          <w:rFonts w:asciiTheme="minorHAnsi" w:hAnsiTheme="minorHAnsi"/>
        </w:rPr>
      </w:pPr>
      <w:r>
        <w:rPr>
          <w:rFonts w:asciiTheme="minorHAnsi" w:hAnsiTheme="minorHAnsi"/>
        </w:rPr>
        <w:t>6.2  Acoplamiento morfotipo–estado PAC</w:t>
      </w:r>
    </w:p>
    <w:p w14:paraId="31667B30" w14:textId="500356A2" w:rsidR="00CC4DA3" w:rsidRPr="00CC4DA3" w:rsidRDefault="00975CF1" w:rsidP="00CC4DA3">
      <w:pPr>
        <w:pStyle w:val="font-claude-response-body"/>
        <w:spacing w:line="360" w:lineRule="auto"/>
        <w:jc w:val="both"/>
        <w:rPr>
          <w:rFonts w:asciiTheme="minorHAnsi" w:hAnsiTheme="minorHAnsi"/>
        </w:rPr>
      </w:pPr>
      <w:r w:rsidRPr="00975CF1">
        <w:rPr>
          <w:rFonts w:asciiTheme="minorHAnsi" w:hAnsiTheme="minorHAnsi"/>
        </w:rPr>
        <w:t>Los resultados sugieren una asociación consistente entre morfotipos y estados PAC en las tres escalas, que decrece al ampliar la ventana temporal</w:t>
      </w:r>
      <w:r w:rsidR="00CC4DA3">
        <w:rPr>
          <w:rFonts w:asciiTheme="minorHAnsi" w:hAnsiTheme="minorHAnsi"/>
        </w:rPr>
        <w:t xml:space="preserve">: V de Cramér = 0,355 (S), 0,229 (M) y 0,194 (L) sobre 83.892 eventos. El riesgo relativo </w:t>
      </w:r>
      <w:r>
        <w:rPr>
          <w:rFonts w:asciiTheme="minorHAnsi" w:hAnsiTheme="minorHAnsi"/>
        </w:rPr>
        <w:t>(</w:t>
      </w:r>
      <w:r w:rsidRPr="00975CF1">
        <w:rPr>
          <w:rFonts w:asciiTheme="minorHAnsi" w:hAnsiTheme="minorHAnsi"/>
          <w:b/>
          <w:bCs/>
        </w:rPr>
        <w:t>RR</w:t>
      </w:r>
      <w:r>
        <w:rPr>
          <w:rFonts w:asciiTheme="minorHAnsi" w:hAnsiTheme="minorHAnsi"/>
        </w:rPr>
        <w:t xml:space="preserve">) </w:t>
      </w:r>
      <w:r w:rsidR="00CC4DA3">
        <w:rPr>
          <w:rFonts w:asciiTheme="minorHAnsi" w:hAnsiTheme="minorHAnsi"/>
        </w:rPr>
        <w:t xml:space="preserve">de evento severo </w:t>
      </w:r>
      <w:r w:rsidR="002A2ABE">
        <w:rPr>
          <w:rFonts w:asciiTheme="minorHAnsi" w:hAnsiTheme="minorHAnsi"/>
        </w:rPr>
        <w:t>(</w:t>
      </w:r>
      <w:r w:rsidR="00CC4DA3">
        <w:rPr>
          <w:rFonts w:asciiTheme="minorHAnsi" w:hAnsiTheme="minorHAnsi"/>
        </w:rPr>
        <w:t>prevalencia base 5,97 %</w:t>
      </w:r>
      <w:r>
        <w:rPr>
          <w:rFonts w:asciiTheme="minorHAnsi" w:hAnsiTheme="minorHAnsi"/>
        </w:rPr>
        <w:t>)</w:t>
      </w:r>
      <w:r w:rsidR="00CC4DA3">
        <w:rPr>
          <w:rFonts w:asciiTheme="minorHAnsi" w:hAnsiTheme="minorHAnsi"/>
        </w:rPr>
        <w:t xml:space="preserve"> alcanza hasta 4,7× en estados patológicos y cae por debajo del 2 % en estados protectores (Figs. 6.</w:t>
      </w:r>
      <w:r w:rsidR="00EB0EA1">
        <w:rPr>
          <w:rFonts w:asciiTheme="minorHAnsi" w:hAnsiTheme="minorHAnsi"/>
        </w:rPr>
        <w:t>2</w:t>
      </w:r>
      <w:r w:rsidR="00CC4DA3">
        <w:rPr>
          <w:rFonts w:asciiTheme="minorHAnsi" w:hAnsiTheme="minorHAnsi"/>
        </w:rPr>
        <w:t xml:space="preserve"> y 6.3).</w:t>
      </w:r>
    </w:p>
    <w:p w14:paraId="20E8573F" w14:textId="17B204AD"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w:t>
      </w:r>
      <w:r w:rsidR="00EB0EA1" w:rsidRPr="00EB0EA1">
        <w:rPr>
          <w:rFonts w:asciiTheme="minorHAnsi" w:hAnsiTheme="minorHAnsi"/>
          <w:b/>
          <w:bCs/>
          <w:sz w:val="20"/>
          <w:szCs w:val="20"/>
        </w:rPr>
        <w:t>2</w:t>
      </w:r>
      <w:r w:rsidRPr="00EB0EA1">
        <w:rPr>
          <w:rFonts w:asciiTheme="minorHAnsi" w:hAnsiTheme="minorHAnsi"/>
          <w:b/>
          <w:bCs/>
          <w:sz w:val="20"/>
          <w:szCs w:val="20"/>
        </w:rPr>
        <w:t>. Riesgo relativo (RR) de evento severo por estado PAC en las tres escalas.</w:t>
      </w:r>
    </w:p>
    <w:p w14:paraId="0C67C2F6" w14:textId="77777777" w:rsidR="009C49D7" w:rsidRDefault="00000000">
      <w:pPr>
        <w:jc w:val="center"/>
      </w:pPr>
      <w:r>
        <w:rPr>
          <w:noProof/>
        </w:rPr>
        <w:drawing>
          <wp:inline distT="0" distB="0" distL="0" distR="0" wp14:anchorId="5280922E" wp14:editId="2974E014">
            <wp:extent cx="5943600" cy="1739704"/>
            <wp:effectExtent l="0" t="0" r="0" b="0"/>
            <wp:docPr id="200" name="fig6_6_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png"/>
                    <pic:cNvPicPr/>
                  </pic:nvPicPr>
                  <pic:blipFill>
                    <a:blip r:embed="rId8"/>
                    <a:stretch>
                      <a:fillRect/>
                    </a:stretch>
                  </pic:blipFill>
                  <pic:spPr>
                    <a:xfrm>
                      <a:off x="0" y="0"/>
                      <a:ext cx="5943600" cy="1739704"/>
                    </a:xfrm>
                    <a:prstGeom prst="rect">
                      <a:avLst/>
                    </a:prstGeom>
                  </pic:spPr>
                </pic:pic>
              </a:graphicData>
            </a:graphic>
          </wp:inline>
        </w:drawing>
      </w:r>
    </w:p>
    <w:p w14:paraId="03AF1E41" w14:textId="795CB2A9"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Nota. Los estados patológicos S6, M1 y L0 presentan los RR más elevados (4,70×, 3,29× y 1,98×). La magnitud del RR decrece con la escala temporal. P(severo) marginal = 5,97 %.</w:t>
      </w:r>
    </w:p>
    <w:p w14:paraId="702850A4" w14:textId="634608EC" w:rsidR="00C96A54" w:rsidRPr="00EB0EA1" w:rsidRDefault="00000000">
      <w:pPr>
        <w:spacing w:before="300" w:after="60"/>
        <w:rPr>
          <w:rFonts w:asciiTheme="minorHAnsi" w:hAnsiTheme="minorHAnsi"/>
          <w:b/>
          <w:bCs/>
          <w:sz w:val="20"/>
          <w:szCs w:val="20"/>
        </w:rPr>
      </w:pPr>
      <w:r w:rsidRPr="00EB0EA1">
        <w:rPr>
          <w:rFonts w:asciiTheme="minorHAnsi" w:hAnsiTheme="minorHAnsi"/>
          <w:b/>
          <w:bCs/>
          <w:sz w:val="20"/>
          <w:szCs w:val="20"/>
        </w:rPr>
        <w:t>Figura 6.3. Acoplamiento morfotipo–estado PAC (escala M): esquema conceptual.</w:t>
      </w:r>
    </w:p>
    <w:p w14:paraId="55AAAA26" w14:textId="77777777" w:rsidR="009C49D7" w:rsidRDefault="00000000">
      <w:pPr>
        <w:jc w:val="center"/>
      </w:pPr>
      <w:r>
        <w:rPr>
          <w:noProof/>
        </w:rPr>
        <w:lastRenderedPageBreak/>
        <w:drawing>
          <wp:inline distT="0" distB="0" distL="0" distR="0" wp14:anchorId="03C5324A" wp14:editId="6F7DE78C">
            <wp:extent cx="4813300" cy="2653486"/>
            <wp:effectExtent l="0" t="0" r="0" b="1270"/>
            <wp:docPr id="280460478" name="fig6_6_3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3cpng"/>
                    <pic:cNvPicPr/>
                  </pic:nvPicPr>
                  <pic:blipFill>
                    <a:blip r:embed="rId9"/>
                    <a:stretch>
                      <a:fillRect/>
                    </a:stretch>
                  </pic:blipFill>
                  <pic:spPr>
                    <a:xfrm>
                      <a:off x="0" y="0"/>
                      <a:ext cx="4826365" cy="2660688"/>
                    </a:xfrm>
                    <a:prstGeom prst="rect">
                      <a:avLst/>
                    </a:prstGeom>
                  </pic:spPr>
                </pic:pic>
              </a:graphicData>
            </a:graphic>
          </wp:inline>
        </w:drawing>
      </w:r>
    </w:p>
    <w:p w14:paraId="0F4E5657" w14:textId="4A219806" w:rsidR="00C96A54" w:rsidRPr="00453E6B" w:rsidRDefault="00000000">
      <w:pPr>
        <w:spacing w:after="200"/>
        <w:jc w:val="both"/>
        <w:rPr>
          <w:rFonts w:asciiTheme="minorHAnsi" w:hAnsiTheme="minorHAnsi"/>
          <w:i/>
          <w:iCs/>
          <w:color w:val="747474" w:themeColor="background2" w:themeShade="80"/>
          <w:sz w:val="18"/>
          <w:szCs w:val="18"/>
        </w:rPr>
      </w:pPr>
      <w:r w:rsidRPr="00453E6B">
        <w:rPr>
          <w:rFonts w:asciiTheme="minorHAnsi" w:hAnsiTheme="minorHAnsi"/>
          <w:i/>
          <w:iCs/>
          <w:color w:val="747474" w:themeColor="background2" w:themeShade="80"/>
          <w:sz w:val="18"/>
          <w:szCs w:val="18"/>
        </w:rPr>
        <w:t xml:space="preserve">Nota. El estado fisiológico activo en los 5 min previos predice la morfología de la caída de SpO₂. P(severo | M0) &lt; 2 %; P(severo | M1) ~ 19,6 %. V de Cramér escala M = 0,231. </w:t>
      </w:r>
    </w:p>
    <w:p w14:paraId="67844EBF" w14:textId="04582290" w:rsidR="008B1AB5" w:rsidRPr="008B1AB5" w:rsidRDefault="008B1AB5" w:rsidP="008B1AB5">
      <w:pPr>
        <w:pStyle w:val="Ttulo2"/>
        <w:spacing w:line="360" w:lineRule="auto"/>
        <w:jc w:val="both"/>
        <w:rPr>
          <w:rFonts w:asciiTheme="minorHAnsi" w:hAnsiTheme="minorHAnsi"/>
          <w:b w:val="0"/>
          <w:bCs w:val="0"/>
          <w:sz w:val="24"/>
          <w:szCs w:val="24"/>
        </w:rPr>
      </w:pPr>
      <w:r w:rsidRPr="008B1AB5">
        <w:rPr>
          <w:rFonts w:asciiTheme="minorHAnsi" w:hAnsiTheme="minorHAnsi"/>
          <w:b w:val="0"/>
          <w:bCs w:val="0"/>
          <w:sz w:val="24"/>
          <w:szCs w:val="24"/>
        </w:rPr>
        <w:t>El estado PAC no es el fondo del evento: es el terreno. La misma caída de SpO</w:t>
      </w:r>
      <w:r w:rsidRPr="008B1AB5">
        <w:rPr>
          <w:rFonts w:asciiTheme="minorHAnsi" w:hAnsiTheme="minorHAnsi" w:cs="Cambria Math"/>
          <w:b w:val="0"/>
          <w:bCs w:val="0"/>
          <w:sz w:val="24"/>
          <w:szCs w:val="24"/>
        </w:rPr>
        <w:t>₂</w:t>
      </w:r>
      <w:r w:rsidRPr="008B1AB5">
        <w:rPr>
          <w:rFonts w:asciiTheme="minorHAnsi" w:hAnsiTheme="minorHAnsi"/>
          <w:b w:val="0"/>
          <w:bCs w:val="0"/>
          <w:sz w:val="24"/>
          <w:szCs w:val="24"/>
        </w:rPr>
        <w:t xml:space="preserve"> se expresa de forma distinta según la condición fisiológica activa en que ocurre, y esa condición es medible.</w:t>
      </w:r>
    </w:p>
    <w:p w14:paraId="34AC208D" w14:textId="6F376437" w:rsidR="007433C2" w:rsidRPr="002A2ABE" w:rsidRDefault="007433C2" w:rsidP="007433C2">
      <w:pPr>
        <w:spacing w:before="80" w:after="160" w:line="360" w:lineRule="auto"/>
        <w:rPr>
          <w:rFonts w:asciiTheme="minorHAnsi" w:hAnsiTheme="minorHAnsi"/>
          <w:sz w:val="18"/>
          <w:szCs w:val="18"/>
        </w:rPr>
      </w:pPr>
      <w:r w:rsidRPr="002A2ABE">
        <w:rPr>
          <w:rFonts w:ascii="Segoe UI Symbol" w:hAnsi="Segoe UI Symbol" w:cs="Segoe UI Symbol"/>
          <w:i/>
          <w:iCs/>
          <w:color w:val="555555"/>
          <w:sz w:val="18"/>
          <w:szCs w:val="18"/>
        </w:rPr>
        <w:t>▸ Figura complementaria en Anexo: Fig. 6.10 (distribución condicional P(morfotipo | estado PAC) en las tres escalas).</w:t>
      </w:r>
    </w:p>
    <w:p w14:paraId="48A54FBE" w14:textId="21161730" w:rsidR="00A9687A" w:rsidRPr="00D639C0" w:rsidRDefault="00000000" w:rsidP="00D639C0">
      <w:pPr>
        <w:pStyle w:val="Ttulo2"/>
        <w:spacing w:line="360" w:lineRule="auto"/>
        <w:rPr>
          <w:rFonts w:asciiTheme="minorHAnsi" w:hAnsiTheme="minorHAnsi"/>
        </w:rPr>
      </w:pPr>
      <w:r>
        <w:rPr>
          <w:rFonts w:asciiTheme="minorHAnsi" w:hAnsiTheme="minorHAnsi"/>
        </w:rPr>
        <w:t>6.3  Coupling Index</w:t>
      </w:r>
    </w:p>
    <w:p w14:paraId="08F0FF59" w14:textId="77777777" w:rsidR="002F607E" w:rsidRDefault="002F607E" w:rsidP="002F607E">
      <w:pPr>
        <w:pStyle w:val="font-claude-response-body"/>
        <w:spacing w:line="360" w:lineRule="auto"/>
        <w:jc w:val="both"/>
        <w:rPr>
          <w:rFonts w:asciiTheme="minorHAnsi" w:hAnsiTheme="minorHAnsi"/>
        </w:rPr>
      </w:pPr>
      <w:r>
        <w:rPr>
          <w:rFonts w:asciiTheme="minorHAnsi" w:hAnsiTheme="minorHAnsi"/>
        </w:rPr>
        <w:t>El coupling index (</w:t>
      </w:r>
      <w:r w:rsidRPr="007433C2">
        <w:rPr>
          <w:rFonts w:asciiTheme="minorHAnsi" w:hAnsiTheme="minorHAnsi"/>
          <w:b/>
          <w:bCs/>
        </w:rPr>
        <w:t>CI</w:t>
      </w:r>
      <w:r>
        <w:rPr>
          <w:rFonts w:asciiTheme="minorHAnsi" w:hAnsiTheme="minorHAnsi"/>
        </w:rPr>
        <w:t>) es la fracción de eventos severos de cada noche que ocurrió dentro de un estado PAC patológico, calculado en las tres escalas (</w:t>
      </w:r>
      <w:r w:rsidRPr="007433C2">
        <w:rPr>
          <w:rFonts w:asciiTheme="minorHAnsi" w:hAnsiTheme="minorHAnsi"/>
          <w:i/>
          <w:iCs/>
        </w:rPr>
        <w:t>ci_s, ci_m, ci_l)</w:t>
      </w:r>
      <w:r>
        <w:rPr>
          <w:rFonts w:asciiTheme="minorHAnsi" w:hAnsiTheme="minorHAnsi"/>
        </w:rPr>
        <w:t>. A diferencia del ODI3, el CI captura el contexto dinámico en que ocurrieron los eventos, no solo su frecuencia (Fig. 6.4).</w:t>
      </w:r>
    </w:p>
    <w:p w14:paraId="505E0BE7" w14:textId="77777777" w:rsidR="007433C2" w:rsidRPr="007433C2" w:rsidRDefault="007433C2" w:rsidP="007433C2">
      <w:pPr>
        <w:spacing w:before="300" w:after="60"/>
        <w:rPr>
          <w:b/>
          <w:bCs/>
          <w:sz w:val="20"/>
          <w:szCs w:val="20"/>
        </w:rPr>
      </w:pPr>
      <w:r w:rsidRPr="007433C2">
        <w:rPr>
          <w:b/>
          <w:bCs/>
          <w:sz w:val="20"/>
          <w:szCs w:val="20"/>
        </w:rPr>
        <w:t>Figura 6.4. Dos noches con ODI3 = 14 ev/h y Coupling Index opuesto (0,12 vs. 0,75).</w:t>
      </w:r>
    </w:p>
    <w:p w14:paraId="42FB7ED9" w14:textId="77777777" w:rsidR="007433C2" w:rsidRDefault="007433C2" w:rsidP="007433C2">
      <w:pPr>
        <w:jc w:val="center"/>
      </w:pPr>
      <w:r>
        <w:rPr>
          <w:noProof/>
        </w:rPr>
        <w:lastRenderedPageBreak/>
        <w:drawing>
          <wp:inline distT="0" distB="0" distL="0" distR="0" wp14:anchorId="77F5F349" wp14:editId="31832CEF">
            <wp:extent cx="5943600" cy="2580277"/>
            <wp:effectExtent l="0" t="0" r="0" b="0"/>
            <wp:docPr id="2052575251" name="fig6_6_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5cpng"/>
                    <pic:cNvPicPr/>
                  </pic:nvPicPr>
                  <pic:blipFill>
                    <a:blip r:embed="rId10"/>
                    <a:stretch>
                      <a:fillRect/>
                    </a:stretch>
                  </pic:blipFill>
                  <pic:spPr>
                    <a:xfrm>
                      <a:off x="0" y="0"/>
                      <a:ext cx="5943600" cy="2580277"/>
                    </a:xfrm>
                    <a:prstGeom prst="rect">
                      <a:avLst/>
                    </a:prstGeom>
                  </pic:spPr>
                </pic:pic>
              </a:graphicData>
            </a:graphic>
          </wp:inline>
        </w:drawing>
      </w:r>
    </w:p>
    <w:p w14:paraId="453E342E" w14:textId="05D20237" w:rsidR="007433C2" w:rsidRDefault="007433C2" w:rsidP="007433C2">
      <w:pPr>
        <w:spacing w:after="200"/>
        <w:jc w:val="both"/>
        <w:rPr>
          <w:rFonts w:asciiTheme="minorHAnsi" w:hAnsiTheme="minorHAnsi"/>
          <w:i/>
          <w:iCs/>
          <w:color w:val="747474" w:themeColor="background2" w:themeShade="80"/>
          <w:sz w:val="18"/>
          <w:szCs w:val="18"/>
        </w:rPr>
      </w:pPr>
      <w:r w:rsidRPr="007433C2">
        <w:rPr>
          <w:rFonts w:asciiTheme="minorHAnsi" w:hAnsiTheme="minorHAnsi"/>
          <w:i/>
          <w:iCs/>
          <w:color w:val="747474" w:themeColor="background2" w:themeShade="80"/>
          <w:sz w:val="18"/>
          <w:szCs w:val="18"/>
        </w:rPr>
        <w:t xml:space="preserve">Nota. La distribución de eventos en zonas protectoras (verde) o patológicas (rojo) determina el CI. El ODI3 no distingue estos perfiles; el CI sí. Valores ilustrativos consistentes con el corpus (NB05 §3). </w:t>
      </w:r>
    </w:p>
    <w:p w14:paraId="48831E36" w14:textId="77777777" w:rsidR="007433C2" w:rsidRPr="002A2ABE" w:rsidRDefault="007433C2" w:rsidP="007433C2">
      <w:pPr>
        <w:spacing w:before="80" w:after="160" w:line="360" w:lineRule="auto"/>
        <w:rPr>
          <w:rFonts w:asciiTheme="minorHAnsi" w:hAnsiTheme="minorHAnsi"/>
          <w:sz w:val="18"/>
          <w:szCs w:val="18"/>
        </w:rPr>
      </w:pPr>
      <w:r w:rsidRPr="002A2ABE">
        <w:rPr>
          <w:rFonts w:ascii="Segoe UI Symbol" w:hAnsi="Segoe UI Symbol" w:cs="Segoe UI Symbol"/>
          <w:i/>
          <w:iCs/>
          <w:color w:val="555555"/>
          <w:sz w:val="18"/>
          <w:szCs w:val="18"/>
        </w:rPr>
        <w:t>▸</w:t>
      </w:r>
      <w:r w:rsidRPr="002A2ABE">
        <w:rPr>
          <w:rFonts w:asciiTheme="minorHAnsi" w:hAnsiTheme="minorHAnsi"/>
          <w:i/>
          <w:iCs/>
          <w:color w:val="555555"/>
          <w:sz w:val="18"/>
          <w:szCs w:val="18"/>
        </w:rPr>
        <w:t xml:space="preserve"> Figuras complementarias en Anexo: Fig. 6.11 (coupling index por escala).</w:t>
      </w:r>
    </w:p>
    <w:p w14:paraId="2080AC36" w14:textId="765F72C1" w:rsidR="002F607E" w:rsidRPr="002F607E" w:rsidRDefault="007433C2" w:rsidP="002F607E">
      <w:pPr>
        <w:pStyle w:val="font-claude-response-body"/>
        <w:spacing w:line="360" w:lineRule="auto"/>
        <w:jc w:val="both"/>
        <w:rPr>
          <w:rFonts w:asciiTheme="minorHAnsi" w:hAnsiTheme="minorHAnsi"/>
        </w:rPr>
      </w:pPr>
      <w:r w:rsidRPr="007433C2">
        <w:rPr>
          <w:rFonts w:asciiTheme="minorHAnsi" w:hAnsiTheme="minorHAnsi"/>
        </w:rPr>
        <w:t>Un hallazgo relevante es la independencia casi total entre las escalas S y M: la correlación entre</w:t>
      </w:r>
      <w:r>
        <w:t xml:space="preserve"> </w:t>
      </w:r>
      <w:r w:rsidR="002F607E" w:rsidRPr="007433C2">
        <w:rPr>
          <w:rFonts w:asciiTheme="minorHAnsi" w:hAnsiTheme="minorHAnsi"/>
          <w:b/>
          <w:bCs/>
        </w:rPr>
        <w:t xml:space="preserve">ci_s </w:t>
      </w:r>
      <w:r w:rsidR="002F607E" w:rsidRPr="007433C2">
        <w:rPr>
          <w:rFonts w:asciiTheme="minorHAnsi" w:hAnsiTheme="minorHAnsi"/>
        </w:rPr>
        <w:t>y</w:t>
      </w:r>
      <w:r w:rsidR="002F607E" w:rsidRPr="007433C2">
        <w:rPr>
          <w:rFonts w:asciiTheme="minorHAnsi" w:hAnsiTheme="minorHAnsi"/>
          <w:b/>
          <w:bCs/>
        </w:rPr>
        <w:t xml:space="preserve"> ci_m</w:t>
      </w:r>
      <w:r w:rsidR="002F607E">
        <w:rPr>
          <w:rFonts w:asciiTheme="minorHAnsi" w:hAnsiTheme="minorHAnsi"/>
        </w:rPr>
        <w:t xml:space="preserve"> </w:t>
      </w:r>
      <w:r w:rsidR="00B84E68">
        <w:rPr>
          <w:rFonts w:asciiTheme="minorHAnsi" w:hAnsiTheme="minorHAnsi"/>
        </w:rPr>
        <w:t>es</w:t>
      </w:r>
      <w:r w:rsidR="002F607E">
        <w:rPr>
          <w:rFonts w:asciiTheme="minorHAnsi" w:hAnsiTheme="minorHAnsi"/>
        </w:rPr>
        <w:t xml:space="preserve"> prácticamente </w:t>
      </w:r>
      <w:r w:rsidR="00B84E68">
        <w:rPr>
          <w:rFonts w:asciiTheme="minorHAnsi" w:hAnsiTheme="minorHAnsi"/>
        </w:rPr>
        <w:t>nula</w:t>
      </w:r>
      <w:r w:rsidR="002F607E">
        <w:rPr>
          <w:rFonts w:asciiTheme="minorHAnsi" w:hAnsiTheme="minorHAnsi"/>
        </w:rPr>
        <w:t xml:space="preserve"> (r = 0,066): la concentración en estados patológicos de 30 s no predice el comportamiento en ventanas de 5 min. La correlación moderada </w:t>
      </w:r>
      <w:r w:rsidR="00B84E68">
        <w:rPr>
          <w:rFonts w:asciiTheme="minorHAnsi" w:hAnsiTheme="minorHAnsi"/>
        </w:rPr>
        <w:t xml:space="preserve">entre </w:t>
      </w:r>
      <w:r w:rsidR="002F607E">
        <w:rPr>
          <w:rFonts w:asciiTheme="minorHAnsi" w:hAnsiTheme="minorHAnsi"/>
        </w:rPr>
        <w:t>ci_m</w:t>
      </w:r>
      <w:r>
        <w:rPr>
          <w:rFonts w:asciiTheme="minorHAnsi" w:hAnsiTheme="minorHAnsi"/>
        </w:rPr>
        <w:t xml:space="preserve"> </w:t>
      </w:r>
      <w:r w:rsidR="00B84E68">
        <w:rPr>
          <w:rFonts w:asciiTheme="minorHAnsi" w:hAnsiTheme="minorHAnsi"/>
        </w:rPr>
        <w:t>y</w:t>
      </w:r>
      <w:r>
        <w:rPr>
          <w:rFonts w:asciiTheme="minorHAnsi" w:hAnsiTheme="minorHAnsi"/>
        </w:rPr>
        <w:t xml:space="preserve"> </w:t>
      </w:r>
      <w:r w:rsidR="002F607E">
        <w:rPr>
          <w:rFonts w:asciiTheme="minorHAnsi" w:hAnsiTheme="minorHAnsi"/>
        </w:rPr>
        <w:t>ci_l (r = 0,291) refleja mayor solapamiento temporal entre escalas contiguas. Esta independencia justifica el uso combinado de las tres métricas sin riesgo de multicolinealidad</w:t>
      </w:r>
      <w:r>
        <w:rPr>
          <w:rFonts w:asciiTheme="minorHAnsi" w:hAnsiTheme="minorHAnsi"/>
        </w:rPr>
        <w:t xml:space="preserve"> (Tabla 6.3)</w:t>
      </w:r>
      <w:r w:rsidR="002F607E">
        <w:rPr>
          <w:rFonts w:asciiTheme="minorHAnsi" w:hAnsiTheme="minorHAnsi"/>
        </w:rPr>
        <w:t>.</w:t>
      </w:r>
    </w:p>
    <w:p w14:paraId="035B53E9"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6.3. Definición operativa del Coupling Index por escala temporal.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1800"/>
        <w:gridCol w:w="2100"/>
        <w:gridCol w:w="2500"/>
      </w:tblGrid>
      <w:tr w:rsidR="00A9687A" w:rsidRPr="00D639C0" w14:paraId="6FD4D400" w14:textId="77777777">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1AEBF4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Escala</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ECD206"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Ventana</w:t>
            </w:r>
          </w:p>
        </w:tc>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341F1B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Estados patológicos</w:t>
            </w:r>
          </w:p>
        </w:tc>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E3DD6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Correlación cruzada</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7B1173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Interpretación fisiológica</w:t>
            </w:r>
          </w:p>
        </w:tc>
      </w:tr>
      <w:tr w:rsidR="00A9687A" w:rsidRPr="00D639C0" w14:paraId="4EB93E74"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D5EC3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 (30 s)</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D43A05"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s</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FC2C0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S2, S4, S6</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D62199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7DC34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microdinámica evento a evento</w:t>
            </w:r>
          </w:p>
        </w:tc>
      </w:tr>
      <w:tr w:rsidR="00A9687A" w:rsidRPr="00D639C0" w14:paraId="30DBBE59"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9DC2C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 (5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6472A6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5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333B6B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M1, M3</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F68FBB"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r(ci_s, ci_m) = 0,066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AF4EAA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regulación intermedia</w:t>
            </w:r>
          </w:p>
        </w:tc>
      </w:tr>
      <w:tr w:rsidR="00A9687A" w:rsidRPr="00D639C0" w14:paraId="31E55C52" w14:textId="77777777">
        <w:tc>
          <w:tcPr>
            <w:tcW w:w="1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9222B7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 (30 min)</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9FA27"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30 min</w:t>
            </w:r>
          </w:p>
        </w:tc>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2E6B2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L0, L1</w:t>
            </w:r>
          </w:p>
        </w:tc>
        <w:tc>
          <w:tcPr>
            <w:tcW w:w="2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CD0BD5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r(ci_m, ci_l) = 0,291</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EFC58B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Acoplamiento en arquitectura nocturna global</w:t>
            </w:r>
          </w:p>
        </w:tc>
      </w:tr>
    </w:tbl>
    <w:p w14:paraId="471393D3" w14:textId="77777777" w:rsidR="00A9687A" w:rsidRPr="007433C2" w:rsidRDefault="00000000" w:rsidP="00D639C0">
      <w:pPr>
        <w:spacing w:after="100" w:line="360" w:lineRule="auto"/>
        <w:jc w:val="both"/>
        <w:rPr>
          <w:rFonts w:asciiTheme="minorHAnsi" w:hAnsiTheme="minorHAnsi"/>
          <w:i/>
          <w:iCs/>
          <w:color w:val="747474" w:themeColor="background2" w:themeShade="80"/>
          <w:sz w:val="20"/>
          <w:szCs w:val="20"/>
        </w:rPr>
      </w:pPr>
      <w:r w:rsidRPr="007433C2">
        <w:rPr>
          <w:rFonts w:asciiTheme="minorHAnsi" w:hAnsiTheme="minorHAnsi"/>
          <w:i/>
          <w:iCs/>
          <w:color w:val="747474" w:themeColor="background2" w:themeShade="80"/>
          <w:sz w:val="20"/>
          <w:szCs w:val="20"/>
        </w:rPr>
        <w:lastRenderedPageBreak/>
        <w:t>Nota. Estados patológicos definidos como los estados cuya tasa de eventos C4+C5 supera la mediana del corpus.</w:t>
      </w:r>
    </w:p>
    <w:p w14:paraId="685E19E5" w14:textId="2C3715C2" w:rsidR="008276F2" w:rsidRPr="008276F2" w:rsidRDefault="008276F2" w:rsidP="008276F2">
      <w:pPr>
        <w:pStyle w:val="Ttulo2"/>
        <w:spacing w:line="360" w:lineRule="auto"/>
        <w:jc w:val="both"/>
        <w:rPr>
          <w:rFonts w:asciiTheme="minorHAnsi" w:hAnsiTheme="minorHAnsi"/>
          <w:b w:val="0"/>
          <w:bCs w:val="0"/>
          <w:sz w:val="24"/>
          <w:szCs w:val="24"/>
        </w:rPr>
      </w:pPr>
      <w:r w:rsidRPr="008276F2">
        <w:rPr>
          <w:rFonts w:asciiTheme="minorHAnsi" w:hAnsiTheme="minorHAnsi"/>
          <w:b w:val="0"/>
          <w:bCs w:val="0"/>
          <w:sz w:val="24"/>
          <w:szCs w:val="24"/>
        </w:rPr>
        <w:t>Que los tres CI sean prácticamente independientes entre sí implica que cada uno registra el acoplamiento patológico en una escala temporal distinta, aportando información que las otras dos no contienen. Usarlos en conjunto triplica</w:t>
      </w:r>
      <w:r>
        <w:rPr>
          <w:rFonts w:asciiTheme="minorHAnsi" w:hAnsiTheme="minorHAnsi"/>
          <w:b w:val="0"/>
          <w:bCs w:val="0"/>
          <w:sz w:val="24"/>
          <w:szCs w:val="24"/>
        </w:rPr>
        <w:t>ría</w:t>
      </w:r>
      <w:r w:rsidRPr="008276F2">
        <w:rPr>
          <w:rFonts w:asciiTheme="minorHAnsi" w:hAnsiTheme="minorHAnsi"/>
          <w:b w:val="0"/>
          <w:bCs w:val="0"/>
          <w:sz w:val="24"/>
          <w:szCs w:val="24"/>
        </w:rPr>
        <w:t xml:space="preserve"> la información disponible.</w:t>
      </w:r>
    </w:p>
    <w:p w14:paraId="5EBEE2D1" w14:textId="59E60517" w:rsidR="00A9687A" w:rsidRPr="00D639C0" w:rsidRDefault="00000000" w:rsidP="00D639C0">
      <w:pPr>
        <w:pStyle w:val="Ttulo2"/>
        <w:spacing w:line="360" w:lineRule="auto"/>
        <w:rPr>
          <w:rFonts w:asciiTheme="minorHAnsi" w:hAnsiTheme="minorHAnsi"/>
        </w:rPr>
      </w:pPr>
      <w:r>
        <w:rPr>
          <w:rFonts w:asciiTheme="minorHAnsi" w:hAnsiTheme="minorHAnsi"/>
        </w:rPr>
        <w:t>6.4  Resiliencia fisiológica y dinámica Markoviana</w:t>
      </w:r>
    </w:p>
    <w:p w14:paraId="4A0121EE" w14:textId="1C9ECB26" w:rsidR="00135873" w:rsidRDefault="00876E61" w:rsidP="00D639C0">
      <w:pPr>
        <w:spacing w:after="200" w:line="360" w:lineRule="auto"/>
        <w:jc w:val="both"/>
        <w:rPr>
          <w:rFonts w:asciiTheme="minorHAnsi" w:hAnsiTheme="minorHAnsi"/>
        </w:rPr>
      </w:pPr>
      <w:r>
        <w:rPr>
          <w:rFonts w:asciiTheme="minorHAnsi" w:hAnsiTheme="minorHAnsi"/>
        </w:rPr>
        <w:t>Tras un evento severo, la probabilidad de permanecer en estado patológico cae con la escala: 43,3 % a los 30 s, 12,3 % a los 5 min y 1,3 % a los 30 min (Fig. 6.5</w:t>
      </w:r>
      <w:r w:rsidR="00AA0141">
        <w:rPr>
          <w:rFonts w:asciiTheme="minorHAnsi" w:hAnsiTheme="minorHAnsi"/>
        </w:rPr>
        <w:t>, Tabla 6.4</w:t>
      </w:r>
      <w:r>
        <w:rPr>
          <w:rFonts w:asciiTheme="minorHAnsi" w:hAnsiTheme="minorHAnsi"/>
        </w:rPr>
        <w:t xml:space="preserve">). </w:t>
      </w:r>
    </w:p>
    <w:p w14:paraId="1A3D25D6" w14:textId="77777777" w:rsidR="00135873" w:rsidRPr="00135873" w:rsidRDefault="00135873" w:rsidP="00135873">
      <w:pPr>
        <w:spacing w:before="300" w:after="60"/>
        <w:rPr>
          <w:b/>
          <w:bCs/>
          <w:sz w:val="20"/>
          <w:szCs w:val="20"/>
        </w:rPr>
      </w:pPr>
      <w:r w:rsidRPr="00135873">
        <w:rPr>
          <w:b/>
          <w:bCs/>
          <w:sz w:val="20"/>
          <w:szCs w:val="20"/>
        </w:rPr>
        <w:t>Figura 6.5. Dinámica peri-evento y resiliencia fisiológica: esquema conceptual.</w:t>
      </w:r>
    </w:p>
    <w:p w14:paraId="36E13C5D" w14:textId="77777777" w:rsidR="00135873" w:rsidRDefault="00135873" w:rsidP="00135873">
      <w:pPr>
        <w:jc w:val="center"/>
      </w:pPr>
      <w:r>
        <w:rPr>
          <w:noProof/>
        </w:rPr>
        <w:drawing>
          <wp:inline distT="0" distB="0" distL="0" distR="0" wp14:anchorId="3988BB65" wp14:editId="4D89F68B">
            <wp:extent cx="5943600" cy="3276600"/>
            <wp:effectExtent l="0" t="0" r="0" b="0"/>
            <wp:docPr id="859710928" name="fig6_6_6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6cpng"/>
                    <pic:cNvPicPr/>
                  </pic:nvPicPr>
                  <pic:blipFill>
                    <a:blip r:embed="rId11"/>
                    <a:stretch>
                      <a:fillRect/>
                    </a:stretch>
                  </pic:blipFill>
                  <pic:spPr>
                    <a:xfrm>
                      <a:off x="0" y="0"/>
                      <a:ext cx="5943600" cy="3276600"/>
                    </a:xfrm>
                    <a:prstGeom prst="rect">
                      <a:avLst/>
                    </a:prstGeom>
                  </pic:spPr>
                </pic:pic>
              </a:graphicData>
            </a:graphic>
          </wp:inline>
        </w:drawing>
      </w:r>
    </w:p>
    <w:p w14:paraId="79D58968" w14:textId="3E0A9BB5" w:rsidR="00135873" w:rsidRPr="00135873" w:rsidRDefault="00135873" w:rsidP="00135873">
      <w:pPr>
        <w:spacing w:after="200"/>
        <w:jc w:val="both"/>
        <w:rPr>
          <w:i/>
          <w:iCs/>
          <w:color w:val="747474" w:themeColor="background2" w:themeShade="80"/>
          <w:sz w:val="18"/>
          <w:szCs w:val="18"/>
        </w:rPr>
      </w:pPr>
      <w:r w:rsidRPr="00135873">
        <w:rPr>
          <w:i/>
          <w:iCs/>
          <w:color w:val="747474" w:themeColor="background2" w:themeShade="80"/>
          <w:sz w:val="18"/>
          <w:szCs w:val="18"/>
        </w:rPr>
        <w:t xml:space="preserve">Nota. Probabilidad de permanecer en estado patológico tras evento severo (C4/C5): 43,3 % a los 30 s, 12,3 % a los 5 min, 1,3 % a los 30 min. </w:t>
      </w:r>
    </w:p>
    <w:p w14:paraId="51EAC26C" w14:textId="77777777" w:rsidR="00AA0141" w:rsidRPr="00135873" w:rsidRDefault="00AA0141" w:rsidP="00AA0141">
      <w:pPr>
        <w:spacing w:before="280" w:after="80"/>
        <w:rPr>
          <w:rFonts w:asciiTheme="minorHAnsi" w:hAnsiTheme="minorHAnsi"/>
        </w:rPr>
      </w:pPr>
      <w:r w:rsidRPr="00135873">
        <w:rPr>
          <w:rFonts w:asciiTheme="minorHAnsi" w:hAnsiTheme="minorHAnsi"/>
          <w:b/>
          <w:bCs/>
          <w:color w:val="1E3A5F"/>
          <w:sz w:val="20"/>
          <w:szCs w:val="20"/>
        </w:rPr>
        <w:t>Tabla 6.4. Resiliencia fisiológica posterior a eventos severos en estados patológicos.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3"/>
        <w:gridCol w:w="1024"/>
        <w:gridCol w:w="2196"/>
        <w:gridCol w:w="2196"/>
        <w:gridCol w:w="2196"/>
      </w:tblGrid>
      <w:tr w:rsidR="00AA0141" w:rsidRPr="00D639C0" w14:paraId="2BDC3068" w14:textId="77777777" w:rsidTr="00E72CB4">
        <w:trPr>
          <w:tblHeader/>
        </w:trPr>
        <w:tc>
          <w:tcPr>
            <w:tcW w:w="667"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63177E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Escala</w:t>
            </w:r>
          </w:p>
        </w:tc>
        <w:tc>
          <w:tcPr>
            <w:tcW w:w="583"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2D1F4D9"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Ventana</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AADC15"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Resiliente (retorno a estado protector)</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4C9F4C3" w14:textId="77777777" w:rsidR="00AA0141" w:rsidRPr="00D639C0" w:rsidRDefault="00AA0141" w:rsidP="00E72CB4">
            <w:pPr>
              <w:spacing w:line="360" w:lineRule="auto"/>
              <w:rPr>
                <w:rFonts w:asciiTheme="minorHAnsi" w:hAnsiTheme="minorHAnsi"/>
              </w:rPr>
            </w:pPr>
            <w:r>
              <w:rPr>
                <w:rFonts w:asciiTheme="minorHAnsi" w:hAnsiTheme="minorHAnsi"/>
                <w:b/>
                <w:bCs/>
                <w:sz w:val="20"/>
                <w:szCs w:val="20"/>
              </w:rPr>
              <w:t>Colapsado (persiste en estado patológico)</w:t>
            </w:r>
          </w:p>
        </w:tc>
        <w:tc>
          <w:tcPr>
            <w:tcW w:w="1250" w:type="pct"/>
            <w:tcBorders>
              <w:top w:val="single" w:sz="1" w:space="0" w:color="CCCCCC"/>
              <w:left w:val="single" w:sz="1" w:space="0" w:color="CCCCCC"/>
              <w:bottom w:val="single" w:sz="1" w:space="0" w:color="CCCCCC"/>
              <w:right w:val="single" w:sz="1" w:space="0" w:color="CCCCCC"/>
            </w:tcBorders>
            <w:shd w:val="clear" w:color="auto" w:fill="D5E8F0"/>
          </w:tcPr>
          <w:p w14:paraId="22BF9C4E" w14:textId="77777777" w:rsidR="00AA0141" w:rsidRPr="00D639C0" w:rsidRDefault="00AA0141" w:rsidP="00E72CB4">
            <w:pPr>
              <w:spacing w:line="360" w:lineRule="auto"/>
              <w:jc w:val="center"/>
              <w:rPr>
                <w:rFonts w:asciiTheme="minorHAnsi" w:hAnsiTheme="minorHAnsi"/>
                <w:b/>
                <w:bCs/>
                <w:sz w:val="20"/>
                <w:szCs w:val="20"/>
              </w:rPr>
            </w:pPr>
            <w:r>
              <w:rPr>
                <w:rFonts w:asciiTheme="minorHAnsi" w:hAnsiTheme="minorHAnsi"/>
                <w:b/>
                <w:bCs/>
                <w:sz w:val="20"/>
                <w:szCs w:val="20"/>
              </w:rPr>
              <w:t>Intermedio / sin dato</w:t>
            </w:r>
          </w:p>
        </w:tc>
      </w:tr>
      <w:tr w:rsidR="00AA0141" w:rsidRPr="00D639C0" w14:paraId="4AC28C24"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39D7F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S (30 s)</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B1F759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s</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F052D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43,3 %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A7DD1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40,2 %</w:t>
            </w:r>
          </w:p>
        </w:tc>
        <w:tc>
          <w:tcPr>
            <w:tcW w:w="1250" w:type="pct"/>
            <w:tcBorders>
              <w:top w:val="single" w:sz="1" w:space="0" w:color="CCCCCC"/>
              <w:left w:val="single" w:sz="1" w:space="0" w:color="CCCCCC"/>
              <w:bottom w:val="single" w:sz="1" w:space="0" w:color="CCCCCC"/>
              <w:right w:val="single" w:sz="1" w:space="0" w:color="CCCCCC"/>
            </w:tcBorders>
          </w:tcPr>
          <w:p w14:paraId="28D9E8BE" w14:textId="77777777"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16,5 %</w:t>
            </w:r>
          </w:p>
        </w:tc>
      </w:tr>
      <w:tr w:rsidR="00AA0141" w:rsidRPr="00D639C0" w14:paraId="315BA52A"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4870B5F"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M (5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CC05E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5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0BCA03"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12,3 %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8518D10"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80,4 %</w:t>
            </w:r>
          </w:p>
        </w:tc>
        <w:tc>
          <w:tcPr>
            <w:tcW w:w="1250" w:type="pct"/>
            <w:tcBorders>
              <w:top w:val="single" w:sz="1" w:space="0" w:color="CCCCCC"/>
              <w:left w:val="single" w:sz="1" w:space="0" w:color="CCCCCC"/>
              <w:bottom w:val="single" w:sz="1" w:space="0" w:color="CCCCCC"/>
              <w:right w:val="single" w:sz="1" w:space="0" w:color="CCCCCC"/>
            </w:tcBorders>
          </w:tcPr>
          <w:p w14:paraId="0B9D6C97" w14:textId="1FAB8C65"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7,3</w:t>
            </w:r>
            <w:r w:rsidR="005452D4">
              <w:rPr>
                <w:rFonts w:asciiTheme="minorHAnsi" w:hAnsiTheme="minorHAnsi"/>
                <w:sz w:val="20"/>
                <w:szCs w:val="20"/>
              </w:rPr>
              <w:t xml:space="preserve"> </w:t>
            </w:r>
            <w:r>
              <w:rPr>
                <w:rFonts w:asciiTheme="minorHAnsi" w:hAnsiTheme="minorHAnsi"/>
                <w:sz w:val="20"/>
                <w:szCs w:val="20"/>
              </w:rPr>
              <w:t>%</w:t>
            </w:r>
          </w:p>
        </w:tc>
      </w:tr>
      <w:tr w:rsidR="00AA0141" w:rsidRPr="00D639C0" w14:paraId="43BADB7C" w14:textId="77777777" w:rsidTr="00E72CB4">
        <w:tc>
          <w:tcPr>
            <w:tcW w:w="667"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DBFA9A"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lastRenderedPageBreak/>
              <w:t>L (30 min)</w:t>
            </w:r>
          </w:p>
        </w:tc>
        <w:tc>
          <w:tcPr>
            <w:tcW w:w="583"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299E37"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30 min</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A78DA1"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1,3 %</w:t>
            </w:r>
          </w:p>
        </w:tc>
        <w:tc>
          <w:tcPr>
            <w:tcW w:w="1250" w:type="pct"/>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F137AD" w14:textId="77777777" w:rsidR="00AA0141" w:rsidRPr="00D639C0" w:rsidRDefault="00AA0141" w:rsidP="00E72CB4">
            <w:pPr>
              <w:spacing w:line="360" w:lineRule="auto"/>
              <w:rPr>
                <w:rFonts w:asciiTheme="minorHAnsi" w:hAnsiTheme="minorHAnsi"/>
              </w:rPr>
            </w:pPr>
            <w:r>
              <w:rPr>
                <w:rFonts w:asciiTheme="minorHAnsi" w:hAnsiTheme="minorHAnsi"/>
                <w:sz w:val="20"/>
                <w:szCs w:val="20"/>
              </w:rPr>
              <w:t>74,5 %</w:t>
            </w:r>
          </w:p>
        </w:tc>
        <w:tc>
          <w:tcPr>
            <w:tcW w:w="1250" w:type="pct"/>
            <w:tcBorders>
              <w:top w:val="single" w:sz="1" w:space="0" w:color="CCCCCC"/>
              <w:left w:val="single" w:sz="1" w:space="0" w:color="CCCCCC"/>
              <w:bottom w:val="single" w:sz="1" w:space="0" w:color="CCCCCC"/>
              <w:right w:val="single" w:sz="1" w:space="0" w:color="CCCCCC"/>
            </w:tcBorders>
          </w:tcPr>
          <w:p w14:paraId="1AF1A7B0" w14:textId="3E133428" w:rsidR="00AA0141" w:rsidRPr="00D639C0" w:rsidRDefault="00AA0141" w:rsidP="00E72CB4">
            <w:pPr>
              <w:spacing w:line="360" w:lineRule="auto"/>
              <w:ind w:left="65"/>
              <w:rPr>
                <w:rFonts w:asciiTheme="minorHAnsi" w:hAnsiTheme="minorHAnsi"/>
                <w:sz w:val="20"/>
                <w:szCs w:val="20"/>
              </w:rPr>
            </w:pPr>
            <w:r>
              <w:rPr>
                <w:rFonts w:asciiTheme="minorHAnsi" w:hAnsiTheme="minorHAnsi"/>
                <w:sz w:val="20"/>
                <w:szCs w:val="20"/>
              </w:rPr>
              <w:t xml:space="preserve"> 24,2 %</w:t>
            </w:r>
          </w:p>
        </w:tc>
      </w:tr>
    </w:tbl>
    <w:p w14:paraId="1382885A" w14:textId="5F131683" w:rsidR="00AA0141" w:rsidRDefault="00AA0141" w:rsidP="00AA0141">
      <w:pPr>
        <w:spacing w:after="100"/>
        <w:jc w:val="both"/>
        <w:rPr>
          <w:rFonts w:asciiTheme="minorHAnsi" w:hAnsiTheme="minorHAnsi"/>
          <w:i/>
          <w:iCs/>
          <w:sz w:val="20"/>
          <w:szCs w:val="20"/>
        </w:rPr>
      </w:pPr>
      <w:r>
        <w:rPr>
          <w:rFonts w:asciiTheme="minorHAnsi" w:hAnsiTheme="minorHAnsi"/>
          <w:i/>
          <w:iCs/>
          <w:sz w:val="20"/>
          <w:szCs w:val="20"/>
        </w:rPr>
        <w:t xml:space="preserve">Nota. Resiliente = siguiente ventana en estado protector. Colapsado = siguiente ventana en estado patológico. Diferencia al 100 %: estados intermedios o último evento de la noche. </w:t>
      </w:r>
    </w:p>
    <w:p w14:paraId="4818A5E5" w14:textId="77777777" w:rsidR="00AA0141" w:rsidRDefault="00AA0141" w:rsidP="00AA0141">
      <w:pPr>
        <w:spacing w:after="100"/>
        <w:jc w:val="both"/>
        <w:rPr>
          <w:rFonts w:asciiTheme="minorHAnsi" w:hAnsiTheme="minorHAnsi"/>
        </w:rPr>
      </w:pPr>
    </w:p>
    <w:p w14:paraId="1E7016F6" w14:textId="0482098F" w:rsidR="00135873" w:rsidRDefault="00876E61" w:rsidP="00D639C0">
      <w:pPr>
        <w:spacing w:after="200" w:line="360" w:lineRule="auto"/>
        <w:jc w:val="both"/>
        <w:rPr>
          <w:rFonts w:asciiTheme="minorHAnsi" w:hAnsiTheme="minorHAnsi"/>
        </w:rPr>
      </w:pPr>
      <w:r>
        <w:rPr>
          <w:rFonts w:asciiTheme="minorHAnsi" w:hAnsiTheme="minorHAnsi"/>
        </w:rPr>
        <w:t>La inercia creciente se explica por la dinámica Markoviana: M3 actúa como antesala de M1 —el estado de mayor inercia del sistema— configurando el corredor M0/M2 → M4 → M3 → M1 (Fig. 6.6).</w:t>
      </w:r>
    </w:p>
    <w:p w14:paraId="2A7AA9C5" w14:textId="77777777" w:rsidR="00135873" w:rsidRDefault="00135873" w:rsidP="00135873">
      <w:pPr>
        <w:spacing w:before="300" w:after="60"/>
        <w:rPr>
          <w:rFonts w:asciiTheme="minorHAnsi" w:hAnsiTheme="minorHAnsi"/>
          <w:b/>
          <w:bCs/>
          <w:sz w:val="20"/>
          <w:szCs w:val="20"/>
        </w:rPr>
      </w:pPr>
      <w:r>
        <w:rPr>
          <w:rFonts w:asciiTheme="minorHAnsi" w:hAnsiTheme="minorHAnsi"/>
          <w:b/>
          <w:bCs/>
          <w:sz w:val="20"/>
          <w:szCs w:val="20"/>
        </w:rPr>
        <w:t>Figura 6.6. Corredor de deterioro Markoviano en escala M.</w:t>
      </w:r>
    </w:p>
    <w:p w14:paraId="2EA5A51B" w14:textId="77777777" w:rsidR="00135873" w:rsidRDefault="00135873" w:rsidP="00135873">
      <w:pPr>
        <w:spacing w:before="200" w:after="60" w:line="360" w:lineRule="auto"/>
        <w:rPr>
          <w:rFonts w:asciiTheme="minorHAnsi" w:hAnsiTheme="minorHAnsi"/>
          <w:b/>
          <w:bCs/>
          <w:sz w:val="20"/>
          <w:szCs w:val="20"/>
        </w:rPr>
      </w:pPr>
      <w:r>
        <w:rPr>
          <w:rFonts w:asciiTheme="minorHAnsi" w:hAnsiTheme="minorHAnsi"/>
          <w:b/>
          <w:bCs/>
          <w:noProof/>
          <w:sz w:val="20"/>
          <w:szCs w:val="20"/>
        </w:rPr>
        <w:drawing>
          <wp:inline distT="0" distB="0" distL="0" distR="0" wp14:anchorId="73F08079" wp14:editId="6C7D8635">
            <wp:extent cx="5963474" cy="1053296"/>
            <wp:effectExtent l="0" t="0" r="0" b="0"/>
            <wp:docPr id="1504020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20288" name=""/>
                    <pic:cNvPicPr/>
                  </pic:nvPicPr>
                  <pic:blipFill>
                    <a:blip r:embed="rId12"/>
                    <a:stretch>
                      <a:fillRect/>
                    </a:stretch>
                  </pic:blipFill>
                  <pic:spPr>
                    <a:xfrm>
                      <a:off x="0" y="0"/>
                      <a:ext cx="5999198" cy="1059606"/>
                    </a:xfrm>
                    <a:prstGeom prst="rect">
                      <a:avLst/>
                    </a:prstGeom>
                  </pic:spPr>
                </pic:pic>
              </a:graphicData>
            </a:graphic>
          </wp:inline>
        </w:drawing>
      </w:r>
    </w:p>
    <w:p w14:paraId="1148A1FA" w14:textId="622FDAEC" w:rsidR="00135873" w:rsidRPr="00150AC0" w:rsidRDefault="00135873" w:rsidP="00135873">
      <w:pPr>
        <w:spacing w:after="200"/>
        <w:jc w:val="both"/>
        <w:rPr>
          <w:rFonts w:asciiTheme="minorHAnsi" w:hAnsiTheme="minorHAnsi"/>
          <w:i/>
          <w:iCs/>
          <w:color w:val="747474" w:themeColor="background2" w:themeShade="80"/>
          <w:sz w:val="18"/>
          <w:szCs w:val="18"/>
        </w:rPr>
      </w:pPr>
      <w:r w:rsidRPr="00150AC0">
        <w:rPr>
          <w:rFonts w:asciiTheme="minorHAnsi" w:hAnsiTheme="minorHAnsi"/>
          <w:i/>
          <w:iCs/>
          <w:color w:val="747474" w:themeColor="background2" w:themeShade="80"/>
          <w:sz w:val="18"/>
          <w:szCs w:val="18"/>
        </w:rPr>
        <w:t xml:space="preserve">Nota. La progresión M0/M2 (protector) → M4 (moderado) → M3 (antesala) → M1 (severo, sin retorno fácil) ilustra la inercia creciente del sistema fisiológico hacia estados de alta carga hipóxica. Los colores codifican el nivel de riesgo: bajo (verde), moderado (naranja claro), alta carga (naranja), severo/inercia alta (rojo). </w:t>
      </w:r>
    </w:p>
    <w:p w14:paraId="349DC00C" w14:textId="5A7A7490" w:rsidR="00F85D36" w:rsidRPr="00F85D36" w:rsidRDefault="00F85D36" w:rsidP="00F85D36">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6.13 (matrices de transición Markovianas por escala).</w:t>
      </w:r>
    </w:p>
    <w:p w14:paraId="5C3F7EBB" w14:textId="77777777" w:rsidR="005452D4" w:rsidRPr="005452D4" w:rsidRDefault="005452D4" w:rsidP="005452D4">
      <w:pPr>
        <w:spacing w:line="360" w:lineRule="auto"/>
        <w:jc w:val="both"/>
        <w:rPr>
          <w:rFonts w:asciiTheme="minorHAnsi" w:hAnsiTheme="minorHAnsi"/>
        </w:rPr>
      </w:pPr>
      <w:r w:rsidRPr="005452D4">
        <w:rPr>
          <w:rFonts w:asciiTheme="minorHAnsi" w:hAnsiTheme="minorHAnsi"/>
        </w:rPr>
        <w:t>Cuando analizamos el transcurso de la noche muy de cerca, a escala de segundos, el organismo absorbe el evento. Al alejarnos, a escala de minutos, tiende a quedarse donde entró. Pero a la distancia, a escala de la noche, raramente sale. No es azar: el corredor M3→M1 tiene una entrada gradual y una salida difícil.</w:t>
      </w:r>
    </w:p>
    <w:p w14:paraId="7206D6AE" w14:textId="60B00869" w:rsidR="00A9687A" w:rsidRPr="00D639C0" w:rsidRDefault="00000000" w:rsidP="00D639C0">
      <w:pPr>
        <w:pStyle w:val="Ttulo2"/>
        <w:spacing w:line="360" w:lineRule="auto"/>
        <w:rPr>
          <w:rFonts w:asciiTheme="minorHAnsi" w:hAnsiTheme="minorHAnsi"/>
        </w:rPr>
      </w:pPr>
      <w:r>
        <w:rPr>
          <w:rFonts w:asciiTheme="minorHAnsi" w:hAnsiTheme="minorHAnsi"/>
        </w:rPr>
        <w:t xml:space="preserve">6.5  Fenotipos dinámicos nocturnos </w:t>
      </w:r>
    </w:p>
    <w:p w14:paraId="0B66CA13" w14:textId="74050A71" w:rsidR="0075335A" w:rsidRDefault="007D62B0" w:rsidP="00D639C0">
      <w:pPr>
        <w:spacing w:after="200" w:line="360" w:lineRule="auto"/>
        <w:jc w:val="both"/>
        <w:rPr>
          <w:rFonts w:asciiTheme="minorHAnsi" w:hAnsiTheme="minorHAnsi"/>
        </w:rPr>
      </w:pPr>
      <w:r>
        <w:rPr>
          <w:rFonts w:asciiTheme="minorHAnsi" w:hAnsiTheme="minorHAnsi"/>
        </w:rPr>
        <w:t>K-means (K = 3) identificó tres fenotipos de trayectoria nocturna (Fig. 6.14, Anexo Suplementario</w:t>
      </w:r>
      <w:r w:rsidR="00F85D36">
        <w:rPr>
          <w:rFonts w:asciiTheme="minorHAnsi" w:hAnsiTheme="minorHAnsi"/>
        </w:rPr>
        <w:t xml:space="preserve">; </w:t>
      </w:r>
      <w:r>
        <w:rPr>
          <w:rFonts w:asciiTheme="minorHAnsi" w:hAnsiTheme="minorHAnsi"/>
        </w:rPr>
        <w:t xml:space="preserve">Tabla 6.5). </w:t>
      </w:r>
    </w:p>
    <w:p w14:paraId="0162EDEF" w14:textId="77777777" w:rsidR="0075335A" w:rsidRPr="00D639C0" w:rsidRDefault="0075335A" w:rsidP="0075335A">
      <w:pPr>
        <w:spacing w:before="200" w:after="60" w:line="360" w:lineRule="auto"/>
        <w:rPr>
          <w:rFonts w:asciiTheme="minorHAnsi" w:hAnsiTheme="minorHAnsi"/>
        </w:rPr>
      </w:pPr>
      <w:r>
        <w:rPr>
          <w:rFonts w:asciiTheme="minorHAnsi" w:hAnsiTheme="minorHAnsi"/>
          <w:b/>
          <w:bCs/>
          <w:sz w:val="20"/>
          <w:szCs w:val="20"/>
        </w:rPr>
        <w:t>Tabla 6.5. Fenotipos dinámicos nocturnos identificados por PAC (K = 3, 511 noches, 8 pacientes).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6"/>
        <w:gridCol w:w="1099"/>
        <w:gridCol w:w="1109"/>
        <w:gridCol w:w="1498"/>
        <w:gridCol w:w="1299"/>
        <w:gridCol w:w="999"/>
        <w:gridCol w:w="1000"/>
      </w:tblGrid>
      <w:tr w:rsidR="0075335A" w:rsidRPr="00D639C0" w14:paraId="06548B39" w14:textId="77777777" w:rsidTr="00E72CB4">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B4E91B0"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Fenotipo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037D8B2"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M1 (severo)</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1980D5BF"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Frac. M3 (antesala)</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E94B2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 ev. severos</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99F98A4"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ARI mediano</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AAF8DE3"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Trans. M</w:t>
            </w:r>
          </w:p>
        </w:tc>
        <w:tc>
          <w:tcPr>
            <w:tcW w:w="1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6BE33426" w14:textId="77777777" w:rsidR="0075335A" w:rsidRPr="00D639C0" w:rsidRDefault="0075335A" w:rsidP="00E72CB4">
            <w:pPr>
              <w:spacing w:line="360" w:lineRule="auto"/>
              <w:rPr>
                <w:rFonts w:asciiTheme="minorHAnsi" w:hAnsiTheme="minorHAnsi"/>
              </w:rPr>
            </w:pPr>
            <w:r>
              <w:rPr>
                <w:rFonts w:asciiTheme="minorHAnsi" w:hAnsiTheme="minorHAnsi"/>
                <w:b/>
                <w:bCs/>
                <w:sz w:val="20"/>
                <w:szCs w:val="20"/>
              </w:rPr>
              <w:t>Entropía M</w:t>
            </w:r>
          </w:p>
        </w:tc>
      </w:tr>
      <w:tr w:rsidR="0075335A" w:rsidRPr="00D639C0" w14:paraId="434F35B8"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46DAF18"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Estable-Protector</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E31E1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2,5 %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A05065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12,0 %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DD0BF6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4B81B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0,524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BB7B1C"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29</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E6E94CD"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1,519</w:t>
            </w:r>
          </w:p>
        </w:tc>
      </w:tr>
      <w:tr w:rsidR="0075335A" w:rsidRPr="00D639C0" w14:paraId="7FB912AE"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0CCA4F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lastRenderedPageBreak/>
              <w:t>Carga Intermedia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E2733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3,4 %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B6C22F5"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22,7 %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860080"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5,3 %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5CDECC3"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0,492</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00F2DF"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43</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7721C6B"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1,933</w:t>
            </w:r>
          </w:p>
        </w:tc>
      </w:tr>
      <w:tr w:rsidR="0075335A" w:rsidRPr="00D639C0" w14:paraId="5BD32B3B" w14:textId="77777777" w:rsidTr="00E72CB4">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A0E86E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Carga Hipóxica Alta</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5B640E"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78,1 %</w:t>
            </w:r>
          </w:p>
        </w:tc>
        <w:tc>
          <w:tcPr>
            <w:tcW w:w="11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1A2FD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3,1 %</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AAA6B9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37,9 %</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6EECFA2"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0,284</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2A047C7"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6</w:t>
            </w:r>
          </w:p>
        </w:tc>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9EE7389" w14:textId="77777777" w:rsidR="0075335A" w:rsidRPr="00D639C0" w:rsidRDefault="0075335A" w:rsidP="00E72CB4">
            <w:pPr>
              <w:spacing w:line="360" w:lineRule="auto"/>
              <w:rPr>
                <w:rFonts w:asciiTheme="minorHAnsi" w:hAnsiTheme="minorHAnsi"/>
              </w:rPr>
            </w:pPr>
            <w:r>
              <w:rPr>
                <w:rFonts w:asciiTheme="minorHAnsi" w:hAnsiTheme="minorHAnsi"/>
                <w:sz w:val="20"/>
                <w:szCs w:val="20"/>
              </w:rPr>
              <w:t>1,122</w:t>
            </w:r>
          </w:p>
        </w:tc>
      </w:tr>
    </w:tbl>
    <w:p w14:paraId="4F2E55D1" w14:textId="77777777" w:rsidR="0075335A" w:rsidRDefault="0075335A" w:rsidP="0075335A">
      <w:pPr>
        <w:spacing w:after="100" w:line="360" w:lineRule="auto"/>
        <w:jc w:val="both"/>
        <w:rPr>
          <w:rFonts w:asciiTheme="minorHAnsi" w:hAnsiTheme="minorHAnsi"/>
        </w:rPr>
      </w:pPr>
      <w:r>
        <w:rPr>
          <w:rFonts w:asciiTheme="minorHAnsi" w:hAnsiTheme="minorHAnsi"/>
          <w:i/>
          <w:iCs/>
          <w:sz w:val="20"/>
          <w:szCs w:val="20"/>
        </w:rPr>
        <w:t xml:space="preserve">Nota. K-means sobre PCA de 7 features nocturnas. </w:t>
      </w:r>
    </w:p>
    <w:p w14:paraId="3F9F1588" w14:textId="47D9C4EE" w:rsidR="007C078B" w:rsidRPr="007C078B" w:rsidRDefault="00AA0141" w:rsidP="007C078B">
      <w:pPr>
        <w:pStyle w:val="font-claude-response-body"/>
        <w:spacing w:line="360" w:lineRule="auto"/>
        <w:jc w:val="both"/>
        <w:rPr>
          <w:rFonts w:asciiTheme="minorHAnsi" w:hAnsiTheme="minorHAnsi"/>
        </w:rPr>
      </w:pPr>
      <w:r>
        <w:rPr>
          <w:rFonts w:asciiTheme="minorHAnsi" w:hAnsiTheme="minorHAnsi"/>
        </w:rPr>
        <w:t xml:space="preserve">Cada fenotipo está caracterizado en </w:t>
      </w:r>
      <w:r w:rsidR="007C078B">
        <w:rPr>
          <w:rFonts w:asciiTheme="minorHAnsi" w:hAnsiTheme="minorHAnsi"/>
        </w:rPr>
        <w:t>seis dimensiones. Las más discriminantes son frac_M1 —78,1 % de la noche en CHA frente al 2,5 % en Estable-Protector— y el número de transiciones M, que en CHA se reduce a 6 (frente a 43 en Carga Intermedia): el fenotipo severo no alterna estados, los ocupa de forma monótona. La entropía M confirma este patrón: baja entropía, pocas transiciones, dominancia sostenida.</w:t>
      </w:r>
    </w:p>
    <w:p w14:paraId="5509DDBE" w14:textId="77777777" w:rsidR="00A9687A" w:rsidRDefault="007D62B0" w:rsidP="00D639C0">
      <w:pPr>
        <w:spacing w:after="200" w:line="360" w:lineRule="auto"/>
        <w:jc w:val="both"/>
        <w:rPr>
          <w:rFonts w:asciiTheme="minorHAnsi" w:hAnsiTheme="minorHAnsi"/>
        </w:rPr>
      </w:pPr>
      <w:r>
        <w:rPr>
          <w:rFonts w:asciiTheme="minorHAnsi" w:hAnsiTheme="minorHAnsi"/>
        </w:rPr>
        <w:t>El fenotipo CHA, ya identificado en Cap05, se manifiesta predominantemente en pacientes con severidad AASM Moderada — un hallazgo que el fenotipo dinámico captura y el ODI3 no. El ARI es prácticamente invariante entre fenotipos (diferencia máxima &lt; 0,25), confirmando su independencia respecto a la arquitectura de severidad dinámica (consistente con su ortogonalidad respecto al ODI3 demostrada en Cap04 §4.3.1).</w:t>
      </w:r>
    </w:p>
    <w:p w14:paraId="0BE43870" w14:textId="5CA65C10" w:rsidR="00AA0141" w:rsidRPr="00AA0141" w:rsidRDefault="00AA0141" w:rsidP="00D639C0">
      <w:pPr>
        <w:spacing w:after="200" w:line="360" w:lineRule="auto"/>
        <w:jc w:val="both"/>
        <w:rPr>
          <w:rFonts w:asciiTheme="minorHAnsi" w:hAnsiTheme="minorHAnsi"/>
        </w:rPr>
      </w:pPr>
      <w:r w:rsidRPr="00AA0141">
        <w:rPr>
          <w:rFonts w:asciiTheme="minorHAnsi" w:hAnsiTheme="minorHAnsi"/>
        </w:rPr>
        <w:t>La clasificación por frecuencia de eventos puede esconder una noche que alternó entre estados o una noche dominada por hipoxia sostenida sin retorno. La diferencia clínica podría ser sustancial; la diferencia diagnóstica, invisible. El fenotipo PAC hace esa diferencia visible.</w:t>
      </w:r>
    </w:p>
    <w:p w14:paraId="768CABF8" w14:textId="77777777" w:rsidR="002F7285" w:rsidRPr="002F7285" w:rsidRDefault="002F7285" w:rsidP="002F7285">
      <w:pPr>
        <w:pStyle w:val="Ttulo2"/>
      </w:pPr>
      <w:r>
        <w:t>6.6 Importancia predictiva de las features PAC: ablación LOPO-CV</w:t>
      </w:r>
    </w:p>
    <w:p w14:paraId="0B977207" w14:textId="77777777" w:rsidR="00EC3061" w:rsidRDefault="00EC3061" w:rsidP="00EC3061">
      <w:pPr>
        <w:pStyle w:val="font-claude-response-body"/>
        <w:spacing w:line="360" w:lineRule="auto"/>
        <w:jc w:val="both"/>
        <w:rPr>
          <w:rFonts w:asciiTheme="minorHAnsi" w:hAnsiTheme="minorHAnsi"/>
        </w:rPr>
      </w:pPr>
      <w:r w:rsidRPr="00EC3061">
        <w:rPr>
          <w:rFonts w:asciiTheme="minorHAnsi" w:hAnsiTheme="minorHAnsi"/>
        </w:rPr>
        <w:t>El estudio de ablación LOPO-CV (validación cruzada por paciente) cuantifica la contribución predictiva de cada grupo de variables mediante un Random Forest aplicado a la clasificación multiclase de cuatro categorías AASM sobre 540 noches.</w:t>
      </w:r>
    </w:p>
    <w:p w14:paraId="42D0E6B4" w14:textId="77777777" w:rsidR="00D50E98" w:rsidRPr="00D50E98" w:rsidRDefault="00D50E98" w:rsidP="00D50E98">
      <w:pPr>
        <w:spacing w:before="300" w:after="60" w:line="360" w:lineRule="auto"/>
        <w:jc w:val="both"/>
        <w:rPr>
          <w:rFonts w:asciiTheme="minorHAnsi" w:hAnsiTheme="minorHAnsi"/>
        </w:rPr>
      </w:pPr>
      <w:r w:rsidRPr="00D50E98">
        <w:rPr>
          <w:rFonts w:asciiTheme="minorHAnsi" w:hAnsiTheme="minorHAnsi"/>
        </w:rPr>
        <w:t xml:space="preserve">El modelo PAC-only alcanza balanced accuracy = 0,521 ± 0,218, superando al de índices clínicos convencionales (0,354 ± 0,294). El ARI solo obtiene la balanced </w:t>
      </w:r>
      <w:r w:rsidRPr="00D50E98">
        <w:rPr>
          <w:rFonts w:asciiTheme="minorHAnsi" w:hAnsiTheme="minorHAnsi"/>
        </w:rPr>
        <w:lastRenderedPageBreak/>
        <w:t>accuracy más baja (0,281 ± 0,150), coherente con su ortogonalidad respecto a la severidad AASM (Fig. 6.7).</w:t>
      </w:r>
    </w:p>
    <w:p w14:paraId="6D5D6CCB" w14:textId="2AD4DA8C" w:rsidR="00D50E98" w:rsidRDefault="00D50E98" w:rsidP="00D50E98">
      <w:pPr>
        <w:spacing w:before="300" w:after="60"/>
      </w:pPr>
      <w:r>
        <w:rPr>
          <w:rFonts w:asciiTheme="minorHAnsi" w:hAnsiTheme="minorHAnsi"/>
          <w:b/>
          <w:bCs/>
          <w:sz w:val="20"/>
          <w:szCs w:val="20"/>
        </w:rPr>
        <w:t>Figura 6.7. Ablación por grupo de features — balanced accuracy LOPO-CV (clasificación multiclase, 4 categorías AASM).</w:t>
      </w:r>
    </w:p>
    <w:p w14:paraId="34238F13" w14:textId="77777777" w:rsidR="00D50E98" w:rsidRDefault="00D50E98" w:rsidP="00D50E98">
      <w:pPr>
        <w:spacing w:after="80"/>
        <w:jc w:val="center"/>
      </w:pPr>
      <w:r>
        <w:rPr>
          <w:noProof/>
        </w:rPr>
        <w:drawing>
          <wp:inline distT="0" distB="0" distL="0" distR="0" wp14:anchorId="22D05DD7" wp14:editId="2EACC1EB">
            <wp:extent cx="5400000" cy="2050103"/>
            <wp:effectExtent l="0" t="0" r="0" b="0"/>
            <wp:docPr id="41" name="06_ablation_study.png" descr="Figura 6.8. Ablación por grupo de features — balanced accuracy LOPO-CV (clasificación multiclase, 4 categorías AASM)." title="Figura 6.8. Ablación por grupo de features — balanced accuracy LOPO-CV (clasificación multiclase, 4 categorías AA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400000" cy="2050103"/>
                    </a:xfrm>
                    <a:prstGeom prst="rect">
                      <a:avLst/>
                    </a:prstGeom>
                  </pic:spPr>
                </pic:pic>
              </a:graphicData>
            </a:graphic>
          </wp:inline>
        </w:drawing>
      </w:r>
    </w:p>
    <w:p w14:paraId="234297CC" w14:textId="329EDEFA" w:rsidR="00D50E98" w:rsidRPr="002A2ABE" w:rsidRDefault="00D50E98" w:rsidP="00D50E98">
      <w:pPr>
        <w:spacing w:after="200"/>
        <w:jc w:val="both"/>
        <w:rPr>
          <w:color w:val="747474" w:themeColor="background2" w:themeShade="80"/>
        </w:rPr>
      </w:pPr>
      <w:r w:rsidRPr="002A2ABE">
        <w:rPr>
          <w:rFonts w:asciiTheme="minorHAnsi" w:hAnsiTheme="minorHAnsi"/>
          <w:i/>
          <w:iCs/>
          <w:color w:val="747474" w:themeColor="background2" w:themeShade="80"/>
          <w:sz w:val="18"/>
          <w:szCs w:val="18"/>
        </w:rPr>
        <w:t>Nota. Barras = media ± SD sobre 8 folds LOPO-CV. Los PAC States concentran el 44,8 % de la importancia Gini total. El modelo PAC States + Dinámica PAC supera al modelo basado en índices clínicos convencionales (0,521 vs. 0,354 balanced accuracy).</w:t>
      </w:r>
    </w:p>
    <w:p w14:paraId="36C6D8E4" w14:textId="77777777" w:rsidR="00D50E98" w:rsidRDefault="00D50E98" w:rsidP="00EC3061">
      <w:pPr>
        <w:spacing w:before="200" w:after="60" w:line="360" w:lineRule="auto"/>
      </w:pPr>
      <w:r>
        <w:t>Los estados PAC concentran el 44,8 % de la importancia Gini total, seguidos por morfotipos (20,6 %) y dinámica PAC (14,7 %) (Tabla 6.6).</w:t>
      </w:r>
    </w:p>
    <w:p w14:paraId="1B56FF4F" w14:textId="3EF421F0" w:rsidR="00EC3061" w:rsidRPr="00D639C0" w:rsidRDefault="00EC3061" w:rsidP="00EC3061">
      <w:pPr>
        <w:spacing w:before="200" w:after="60" w:line="360" w:lineRule="auto"/>
        <w:rPr>
          <w:rFonts w:asciiTheme="minorHAnsi" w:hAnsiTheme="minorHAnsi"/>
        </w:rPr>
      </w:pPr>
      <w:r>
        <w:rPr>
          <w:rFonts w:asciiTheme="minorHAnsi" w:hAnsiTheme="minorHAnsi"/>
          <w:b/>
          <w:bCs/>
          <w:sz w:val="20"/>
          <w:szCs w:val="20"/>
        </w:rPr>
        <w:t>Tabla 6.6. Importancia relativa de grupos de features — Random Forest, ablación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2000"/>
        <w:gridCol w:w="2500"/>
      </w:tblGrid>
      <w:tr w:rsidR="00EC3061" w:rsidRPr="00D639C0" w14:paraId="0A122847" w14:textId="77777777" w:rsidTr="00E72CB4">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38D4825"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Grupo de features</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E15BA77"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N variables</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29F26D8"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Importancia (Gini)</w:t>
            </w:r>
          </w:p>
        </w:tc>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EA20E79" w14:textId="77777777" w:rsidR="00EC3061" w:rsidRPr="00D639C0" w:rsidRDefault="00EC3061" w:rsidP="00E72CB4">
            <w:pPr>
              <w:spacing w:line="360" w:lineRule="auto"/>
              <w:rPr>
                <w:rFonts w:asciiTheme="minorHAnsi" w:hAnsiTheme="minorHAnsi"/>
              </w:rPr>
            </w:pPr>
            <w:r>
              <w:rPr>
                <w:rFonts w:asciiTheme="minorHAnsi" w:hAnsiTheme="minorHAnsi"/>
                <w:b/>
                <w:bCs/>
                <w:sz w:val="20"/>
                <w:szCs w:val="20"/>
              </w:rPr>
              <w:t>% sobre total</w:t>
            </w:r>
          </w:p>
        </w:tc>
      </w:tr>
      <w:tr w:rsidR="00EC3061" w:rsidRPr="00D639C0" w14:paraId="1FED10B0"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59FE9F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States (S/M/L)</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2E0393F"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F00F17D"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0,4475</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D2CD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44,8 %</w:t>
            </w:r>
          </w:p>
        </w:tc>
      </w:tr>
      <w:tr w:rsidR="00EC3061" w:rsidRPr="00D639C0" w14:paraId="454D364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603B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Morfotipos C1–C5</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E9137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B9BA3F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0,2019</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CEE841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20,6 %</w:t>
            </w:r>
          </w:p>
        </w:tc>
      </w:tr>
      <w:tr w:rsidR="00EC3061" w:rsidRPr="00D639C0" w14:paraId="20409056"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E27FAD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PAC Dynamics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ECDE02C"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B1DAC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0,1466</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C811CF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14,7 %</w:t>
            </w:r>
          </w:p>
        </w:tc>
      </w:tr>
      <w:tr w:rsidR="00EC3061" w:rsidRPr="00D639C0" w14:paraId="79822A8B"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EE08F5"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Variables clínicas</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1DA976A"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9EF9361"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0,1023</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6F5A9D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10,2 %</w:t>
            </w:r>
          </w:p>
        </w:tc>
      </w:tr>
      <w:tr w:rsidR="00EC3061" w:rsidRPr="00D639C0" w14:paraId="20D991F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A71D9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Sueño</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32716E0"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DA5743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0,0680</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68C1A4"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6,8 %</w:t>
            </w:r>
          </w:p>
        </w:tc>
      </w:tr>
      <w:tr w:rsidR="00EC3061" w:rsidRPr="00D639C0" w14:paraId="587A139D" w14:textId="77777777" w:rsidTr="00E72CB4">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C24F7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ARI</w:t>
            </w:r>
          </w:p>
        </w:tc>
        <w:tc>
          <w:tcPr>
            <w:tcW w:w="1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A7000D8"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5DD2C2B"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0,0337</w:t>
            </w:r>
          </w:p>
        </w:tc>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0F45553" w14:textId="77777777" w:rsidR="00EC3061" w:rsidRPr="00D639C0" w:rsidRDefault="00EC3061" w:rsidP="00E72CB4">
            <w:pPr>
              <w:spacing w:line="360" w:lineRule="auto"/>
              <w:rPr>
                <w:rFonts w:asciiTheme="minorHAnsi" w:hAnsiTheme="minorHAnsi"/>
              </w:rPr>
            </w:pPr>
            <w:r>
              <w:rPr>
                <w:rFonts w:asciiTheme="minorHAnsi" w:hAnsiTheme="minorHAnsi"/>
                <w:sz w:val="20"/>
                <w:szCs w:val="20"/>
              </w:rPr>
              <w:t>3,4 %</w:t>
            </w:r>
          </w:p>
        </w:tc>
      </w:tr>
    </w:tbl>
    <w:p w14:paraId="7CB34D3E" w14:textId="232EC66B" w:rsidR="00EC3061" w:rsidRPr="002A2ABE" w:rsidRDefault="00EC3061" w:rsidP="00EC3061">
      <w:pPr>
        <w:spacing w:after="100" w:line="360" w:lineRule="auto"/>
        <w:jc w:val="both"/>
        <w:rPr>
          <w:rFonts w:asciiTheme="minorHAnsi" w:hAnsiTheme="minorHAnsi"/>
          <w:color w:val="747474" w:themeColor="background2" w:themeShade="80"/>
        </w:rPr>
      </w:pPr>
      <w:r w:rsidRPr="002A2ABE">
        <w:rPr>
          <w:rFonts w:asciiTheme="minorHAnsi" w:hAnsiTheme="minorHAnsi"/>
          <w:i/>
          <w:iCs/>
          <w:color w:val="747474" w:themeColor="background2" w:themeShade="80"/>
          <w:sz w:val="20"/>
          <w:szCs w:val="20"/>
        </w:rPr>
        <w:t>Nota. Importancia Gini promediada sobre 8 folds LOPO-CV. 540 noches, 8 pacientes.</w:t>
      </w:r>
    </w:p>
    <w:p w14:paraId="65C03B74" w14:textId="2FAB255D" w:rsidR="00EC3061" w:rsidRPr="00EC3061" w:rsidRDefault="00EC3061" w:rsidP="00EC3061">
      <w:pPr>
        <w:pStyle w:val="Ttulo2"/>
        <w:spacing w:line="360" w:lineRule="auto"/>
        <w:jc w:val="both"/>
        <w:rPr>
          <w:rFonts w:asciiTheme="minorHAnsi" w:hAnsiTheme="minorHAnsi"/>
          <w:b w:val="0"/>
          <w:bCs w:val="0"/>
          <w:sz w:val="24"/>
          <w:szCs w:val="24"/>
        </w:rPr>
      </w:pPr>
      <w:r w:rsidRPr="00EC3061">
        <w:rPr>
          <w:rFonts w:asciiTheme="minorHAnsi" w:hAnsiTheme="minorHAnsi"/>
          <w:b w:val="0"/>
          <w:bCs w:val="0"/>
          <w:sz w:val="24"/>
          <w:szCs w:val="24"/>
        </w:rPr>
        <w:t>Antes de construir los modelos, es necesario entender en qué se basan. La ablación establece qué grupo de variables lleva el peso predictivo — y por qué los resultados de §6.7 y §6.8 no solo funcionan, sino que lo hacen por las razones fisiológicas correctas.</w:t>
      </w:r>
    </w:p>
    <w:p w14:paraId="7E45E02C" w14:textId="797A5949" w:rsidR="00A9687A" w:rsidRPr="00D639C0" w:rsidRDefault="00000000" w:rsidP="00D639C0">
      <w:pPr>
        <w:pStyle w:val="Ttulo2"/>
        <w:spacing w:line="360" w:lineRule="auto"/>
        <w:rPr>
          <w:rFonts w:asciiTheme="minorHAnsi" w:hAnsiTheme="minorHAnsi"/>
        </w:rPr>
      </w:pPr>
      <w:r>
        <w:rPr>
          <w:rFonts w:asciiTheme="minorHAnsi" w:hAnsiTheme="minorHAnsi"/>
        </w:rPr>
        <w:lastRenderedPageBreak/>
        <w:t>6.7  Modelo predictivo a nivel de evento</w:t>
      </w:r>
    </w:p>
    <w:p w14:paraId="6B2BE33A" w14:textId="6C73CC77" w:rsidR="006E0D21" w:rsidRPr="006E0D21" w:rsidRDefault="006E0D21" w:rsidP="004C3724">
      <w:pPr>
        <w:spacing w:after="200" w:line="360" w:lineRule="auto"/>
        <w:jc w:val="both"/>
        <w:rPr>
          <w:rFonts w:asciiTheme="minorHAnsi" w:hAnsiTheme="minorHAnsi"/>
        </w:rPr>
      </w:pPr>
      <w:r w:rsidRPr="006E0D21">
        <w:rPr>
          <w:rFonts w:asciiTheme="minorHAnsi" w:hAnsiTheme="minorHAnsi"/>
        </w:rPr>
        <w:t xml:space="preserve">El modelo de predicción de evento severo responde una pregunta concreta: ¿es posible anticipar que el próximo EDO será morfológicamente severo antes de que ocurra? La estimación se construye a partir del estado PAC activo y la historia acumulada de la noche hasta ese momento, sin utilizar características del evento en curso. A diferencia del conteo de eventos severos —que mide cuántos C4/C5 hubo— el modelo genera una probabilidad continua que captura con qué intensidad el sistema estuvo en riesgo a lo largo de la noche. Esa probabilidad promediada evento a evento alimenta el Risk Score </w:t>
      </w:r>
      <w:r>
        <w:rPr>
          <w:rFonts w:asciiTheme="minorHAnsi" w:hAnsiTheme="minorHAnsi"/>
        </w:rPr>
        <w:t>PAC</w:t>
      </w:r>
      <w:r w:rsidR="008038EF">
        <w:rPr>
          <w:rFonts w:asciiTheme="minorHAnsi" w:hAnsiTheme="minorHAnsi"/>
        </w:rPr>
        <w:t>, que cuantifica la severidad de la noche en su conjunto</w:t>
      </w:r>
      <w:r w:rsidRPr="006E0D21">
        <w:rPr>
          <w:rFonts w:asciiTheme="minorHAnsi" w:hAnsiTheme="minorHAnsi"/>
        </w:rPr>
        <w:t>: el modelo anticipa dentro de la noche; el índice final describe la noche completa.</w:t>
      </w:r>
    </w:p>
    <w:p w14:paraId="343E83C6" w14:textId="4A66F759" w:rsidR="004C3724" w:rsidRDefault="00000000" w:rsidP="004C3724">
      <w:pPr>
        <w:spacing w:after="200" w:line="360" w:lineRule="auto"/>
        <w:jc w:val="both"/>
        <w:rPr>
          <w:rFonts w:asciiTheme="minorHAnsi" w:hAnsiTheme="minorHAnsi"/>
        </w:rPr>
      </w:pPr>
      <w:r>
        <w:rPr>
          <w:rFonts w:asciiTheme="minorHAnsi" w:hAnsiTheme="minorHAnsi"/>
        </w:rPr>
        <w:t>Sobre 76.053 eventos (prevalencia positiva: 5,57 %), el LightGBM supera a la logística: AUC = 0,878 vs. 0,743; AP = 0,240 vs. 0,164 (Tabla 6.7). Las features más predictivas son contextos acumulados: event_position, recent_morph_mean y ci_so_far —el riesgo se acumula progresivamente dentro de la noche más que en el evento individual.</w:t>
      </w:r>
    </w:p>
    <w:p w14:paraId="5D5223E3" w14:textId="77777777" w:rsidR="00A9687A" w:rsidRPr="00D639C0" w:rsidRDefault="00000000" w:rsidP="004C3724">
      <w:pPr>
        <w:spacing w:after="200" w:line="360" w:lineRule="auto"/>
        <w:jc w:val="both"/>
        <w:rPr>
          <w:rFonts w:asciiTheme="minorHAnsi" w:hAnsiTheme="minorHAnsi"/>
        </w:rPr>
      </w:pPr>
      <w:r>
        <w:rPr>
          <w:rFonts w:asciiTheme="minorHAnsi" w:hAnsiTheme="minorHAnsi"/>
          <w:b/>
          <w:bCs/>
          <w:sz w:val="20"/>
          <w:szCs w:val="20"/>
        </w:rPr>
        <w:t>Tabla 6.7. Rendimiento del modelo predictivo de evento severo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19"/>
        <w:gridCol w:w="1268"/>
        <w:gridCol w:w="1268"/>
        <w:gridCol w:w="1332"/>
        <w:gridCol w:w="1439"/>
        <w:gridCol w:w="1274"/>
      </w:tblGrid>
      <w:tr w:rsidR="00A9687A" w:rsidRPr="00D639C0" w14:paraId="14713A5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33796F4"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6A6E0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7AF276B5"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AP LOPO</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42C0FAA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Sensibilidad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05CF772"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Especificidad</w:t>
            </w:r>
          </w:p>
        </w:tc>
        <w:tc>
          <w:tcPr>
            <w:tcW w:w="13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98D7FE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Mejora AP</w:t>
            </w:r>
          </w:p>
        </w:tc>
      </w:tr>
      <w:tr w:rsidR="00A9687A" w:rsidRPr="00D639C0" w14:paraId="6EE63D36"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6D8910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 (basal)</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D41DF8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0,743</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3281B1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0,164</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4A37F1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0,716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508C3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0,660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02036E2"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2,9×</w:t>
            </w:r>
          </w:p>
        </w:tc>
      </w:tr>
      <w:tr w:rsidR="00A9687A" w:rsidRPr="00D639C0" w14:paraId="2357DEAA" w14:textId="77777777">
        <w:tc>
          <w:tcPr>
            <w:tcW w:w="25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1C73AE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LightGBM</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32B829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73CB59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0,240</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4F0E3AB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FEE68E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w:t>
            </w:r>
          </w:p>
        </w:tc>
        <w:tc>
          <w:tcPr>
            <w:tcW w:w="13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83C10A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4,3×</w:t>
            </w:r>
          </w:p>
        </w:tc>
      </w:tr>
    </w:tbl>
    <w:p w14:paraId="7D05ED3B"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Clase positiva = C4 o C5 (5,57 %). Baseline AP = 5,56 % (prevalencia). Rango AUC por fold (LightGBM): 0,798–0,964.</w:t>
      </w:r>
    </w:p>
    <w:p w14:paraId="676AE997" w14:textId="77777777" w:rsidR="00A9687A" w:rsidRDefault="00000000" w:rsidP="00D639C0">
      <w:pPr>
        <w:spacing w:before="80" w:after="160" w:line="360" w:lineRule="auto"/>
        <w:rPr>
          <w:rFonts w:asciiTheme="minorHAnsi" w:hAnsiTheme="minorHAnsi"/>
          <w:i/>
          <w:iCs/>
          <w:color w:val="555555"/>
          <w:sz w:val="20"/>
          <w:szCs w:val="20"/>
        </w:rPr>
      </w:pPr>
      <w:r>
        <w:rPr>
          <w:rFonts w:ascii="Segoe UI Symbol" w:hAnsi="Segoe UI Symbol" w:cs="Segoe UI Symbol"/>
          <w:i/>
          <w:iCs/>
          <w:color w:val="555555"/>
          <w:sz w:val="20"/>
          <w:szCs w:val="20"/>
        </w:rPr>
        <w:t>▸</w:t>
      </w:r>
      <w:r>
        <w:rPr>
          <w:rFonts w:asciiTheme="minorHAnsi" w:hAnsiTheme="minorHAnsi"/>
          <w:i/>
          <w:iCs/>
          <w:color w:val="555555"/>
          <w:sz w:val="20"/>
          <w:szCs w:val="20"/>
        </w:rPr>
        <w:t xml:space="preserve"> Figura complementaria en Anexo: Fig. 6.15 (curvas ROC y Precision-Recall comparativas).</w:t>
      </w:r>
    </w:p>
    <w:p w14:paraId="6CC28A64" w14:textId="1DE26995" w:rsidR="006E0D21" w:rsidRPr="00D639C0" w:rsidRDefault="006E0D21" w:rsidP="006E0D21">
      <w:pPr>
        <w:pStyle w:val="NormalWeb"/>
        <w:spacing w:line="360" w:lineRule="auto"/>
        <w:jc w:val="both"/>
        <w:rPr>
          <w:rFonts w:asciiTheme="minorHAnsi" w:hAnsiTheme="minorHAnsi"/>
        </w:rPr>
      </w:pPr>
      <w:r w:rsidRPr="006E0D21">
        <w:rPr>
          <w:rFonts w:asciiTheme="minorHAnsi" w:hAnsiTheme="minorHAnsi"/>
        </w:rPr>
        <w:t>Predecir la severidad del próximo evento sin verlo es posible porque el riesgo no vive en el evento: vive en la trayectoria que lo construyó.</w:t>
      </w:r>
    </w:p>
    <w:p w14:paraId="0B903B1F" w14:textId="77777777" w:rsidR="00A9687A" w:rsidRPr="00D639C0" w:rsidRDefault="00000000" w:rsidP="00D639C0">
      <w:pPr>
        <w:pStyle w:val="Ttulo2"/>
        <w:spacing w:line="360" w:lineRule="auto"/>
        <w:rPr>
          <w:rFonts w:asciiTheme="minorHAnsi" w:hAnsiTheme="minorHAnsi"/>
        </w:rPr>
      </w:pPr>
      <w:r>
        <w:rPr>
          <w:rFonts w:asciiTheme="minorHAnsi" w:hAnsiTheme="minorHAnsi"/>
        </w:rPr>
        <w:t>6.8  Modelo predictivo a nivel de noche</w:t>
      </w:r>
    </w:p>
    <w:p w14:paraId="3738D201" w14:textId="34B3463E" w:rsidR="00A9687A" w:rsidRDefault="0066574C" w:rsidP="00E70F72">
      <w:pPr>
        <w:pStyle w:val="NormalWeb"/>
        <w:spacing w:line="360" w:lineRule="auto"/>
        <w:jc w:val="both"/>
        <w:rPr>
          <w:rFonts w:asciiTheme="minorHAnsi" w:hAnsiTheme="minorHAnsi"/>
        </w:rPr>
      </w:pPr>
      <w:r>
        <w:rPr>
          <w:rFonts w:asciiTheme="minorHAnsi" w:hAnsiTheme="minorHAnsi"/>
        </w:rPr>
        <w:lastRenderedPageBreak/>
        <w:t xml:space="preserve">El modelo de clasificación nocturna distingue </w:t>
      </w:r>
      <w:r w:rsidR="008038EF">
        <w:rPr>
          <w:rFonts w:asciiTheme="minorHAnsi" w:hAnsiTheme="minorHAnsi"/>
        </w:rPr>
        <w:t xml:space="preserve">en forma binaria entre </w:t>
      </w:r>
      <w:r>
        <w:rPr>
          <w:rFonts w:asciiTheme="minorHAnsi" w:hAnsiTheme="minorHAnsi"/>
        </w:rPr>
        <w:t xml:space="preserve">Normal+Leve </w:t>
      </w:r>
      <w:r w:rsidR="008038EF">
        <w:rPr>
          <w:rFonts w:asciiTheme="minorHAnsi" w:hAnsiTheme="minorHAnsi"/>
        </w:rPr>
        <w:t xml:space="preserve">y </w:t>
      </w:r>
      <w:r>
        <w:rPr>
          <w:rFonts w:asciiTheme="minorHAnsi" w:hAnsiTheme="minorHAnsi"/>
        </w:rPr>
        <w:t xml:space="preserve"> Moderado+Severo sobre 540 noches (32,0 % positivos). </w:t>
      </w:r>
      <w:r w:rsidR="008038EF">
        <w:rPr>
          <w:rFonts w:asciiTheme="minorHAnsi" w:hAnsiTheme="minorHAnsi"/>
        </w:rPr>
        <w:t>L</w:t>
      </w:r>
      <w:r>
        <w:rPr>
          <w:rFonts w:asciiTheme="minorHAnsi" w:hAnsiTheme="minorHAnsi"/>
        </w:rPr>
        <w:t xml:space="preserve">a </w:t>
      </w:r>
      <w:r w:rsidR="008038EF">
        <w:rPr>
          <w:rFonts w:asciiTheme="minorHAnsi" w:hAnsiTheme="minorHAnsi"/>
        </w:rPr>
        <w:t xml:space="preserve">regresión </w:t>
      </w:r>
      <w:r>
        <w:rPr>
          <w:rFonts w:asciiTheme="minorHAnsi" w:hAnsiTheme="minorHAnsi"/>
        </w:rPr>
        <w:t>logística supera al Random Forest: AUC = 0,874 vs. 0,815; AP = 0,764 vs. 0,649 (Fig. 6.8</w:t>
      </w:r>
      <w:r w:rsidR="000541A6">
        <w:rPr>
          <w:rFonts w:asciiTheme="minorHAnsi" w:hAnsiTheme="minorHAnsi"/>
        </w:rPr>
        <w:t>, Tabla 6.8</w:t>
      </w:r>
      <w:r>
        <w:rPr>
          <w:rFonts w:asciiTheme="minorHAnsi" w:hAnsiTheme="minorHAnsi"/>
        </w:rPr>
        <w:t xml:space="preserve">), sugiriendo separación aproximadamente lineal una vez transformadas las señales en dimensiones PAC. Las features dominantes son fracciones de estados M (69,4 % de la importancia combinada), consistente con que M1 es el mejor predictor de carga hipóxica acumulada (Cap05). </w:t>
      </w:r>
    </w:p>
    <w:p w14:paraId="263B7B20" w14:textId="77777777" w:rsidR="000541A6" w:rsidRPr="000541A6" w:rsidRDefault="000541A6" w:rsidP="000541A6">
      <w:pPr>
        <w:spacing w:before="300" w:after="60"/>
        <w:rPr>
          <w:rFonts w:asciiTheme="minorHAnsi" w:hAnsiTheme="minorHAnsi"/>
          <w:b/>
          <w:bCs/>
          <w:sz w:val="20"/>
          <w:szCs w:val="20"/>
        </w:rPr>
      </w:pPr>
      <w:r w:rsidRPr="000541A6">
        <w:rPr>
          <w:rFonts w:asciiTheme="minorHAnsi" w:hAnsiTheme="minorHAnsi"/>
          <w:b/>
          <w:bCs/>
          <w:sz w:val="20"/>
          <w:szCs w:val="20"/>
        </w:rPr>
        <w:t>Figura 6.8. Curvas ROC y Precision-Recall para la clasificación nocturna binaria (NB07 Bloque C).</w:t>
      </w:r>
    </w:p>
    <w:p w14:paraId="52EF434E" w14:textId="77777777" w:rsidR="000541A6" w:rsidRDefault="000541A6" w:rsidP="000541A6">
      <w:pPr>
        <w:jc w:val="center"/>
      </w:pPr>
      <w:r>
        <w:rPr>
          <w:noProof/>
        </w:rPr>
        <w:drawing>
          <wp:inline distT="0" distB="0" distL="0" distR="0" wp14:anchorId="57E60058" wp14:editId="2DA81B7E">
            <wp:extent cx="5943600" cy="2474832"/>
            <wp:effectExtent l="0" t="0" r="0" b="0"/>
            <wp:docPr id="2036060226" name="fig6_6_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0png"/>
                    <pic:cNvPicPr/>
                  </pic:nvPicPr>
                  <pic:blipFill>
                    <a:blip r:embed="rId14"/>
                    <a:stretch>
                      <a:fillRect/>
                    </a:stretch>
                  </pic:blipFill>
                  <pic:spPr>
                    <a:xfrm>
                      <a:off x="0" y="0"/>
                      <a:ext cx="5943600" cy="2474832"/>
                    </a:xfrm>
                    <a:prstGeom prst="rect">
                      <a:avLst/>
                    </a:prstGeom>
                  </pic:spPr>
                </pic:pic>
              </a:graphicData>
            </a:graphic>
          </wp:inline>
        </w:drawing>
      </w:r>
    </w:p>
    <w:p w14:paraId="655C6FD7" w14:textId="0E53BB0B" w:rsidR="000541A6" w:rsidRPr="000541A6" w:rsidRDefault="000541A6" w:rsidP="000541A6">
      <w:pPr>
        <w:spacing w:after="200"/>
        <w:jc w:val="both"/>
        <w:rPr>
          <w:rFonts w:asciiTheme="minorHAnsi" w:hAnsiTheme="minorHAnsi"/>
          <w:i/>
          <w:iCs/>
          <w:color w:val="747474" w:themeColor="background2" w:themeShade="80"/>
          <w:sz w:val="18"/>
          <w:szCs w:val="18"/>
        </w:rPr>
      </w:pPr>
      <w:r w:rsidRPr="000541A6">
        <w:rPr>
          <w:rFonts w:asciiTheme="minorHAnsi" w:hAnsiTheme="minorHAnsi"/>
          <w:i/>
          <w:iCs/>
          <w:color w:val="747474" w:themeColor="background2" w:themeShade="80"/>
          <w:sz w:val="18"/>
          <w:szCs w:val="18"/>
        </w:rPr>
        <w:t xml:space="preserve">Nota. Logística: AUC = 0,874, AP = 0,764. Random Forest: AUC = 0,815, AP = 0,649. Baseline AP = 0,320 (prevalencia). n = 540 noches, 8 pacientes. </w:t>
      </w:r>
    </w:p>
    <w:p w14:paraId="19DD3D9E" w14:textId="77777777"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6.8. Rendimiento del modelo predictivo nocturno binario — LOPO-CV.</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00"/>
      </w:tblGrid>
      <w:tr w:rsidR="00A9687A" w:rsidRPr="00D639C0" w14:paraId="71F3EEDC"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791944A"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Modelo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6F2B613"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LOPO</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83FAC8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Average Precision</w:t>
            </w:r>
          </w:p>
        </w:tc>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2DCB7929"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Baseline AP</w:t>
            </w:r>
          </w:p>
        </w:tc>
      </w:tr>
      <w:tr w:rsidR="00A9687A" w:rsidRPr="00D639C0" w14:paraId="0A4FFD57"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61F6D60"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Regresión logística</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EB3D4AA"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3F260F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0,764</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47EAA18"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r w:rsidR="00A9687A" w:rsidRPr="00D639C0" w14:paraId="6A010358"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B6A2E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Random Forest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E958A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0,815</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39F814F4"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0,649</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D48B97E"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0,320</w:t>
            </w:r>
          </w:p>
        </w:tc>
      </w:tr>
    </w:tbl>
    <w:p w14:paraId="43EA2873" w14:textId="77777777" w:rsidR="00D54A6F" w:rsidRPr="00D54A6F" w:rsidRDefault="00D54A6F" w:rsidP="00D639C0">
      <w:pPr>
        <w:spacing w:before="80" w:after="160" w:line="360" w:lineRule="auto"/>
        <w:rPr>
          <w:i/>
          <w:iCs/>
          <w:color w:val="808080" w:themeColor="background1" w:themeShade="80"/>
          <w:sz w:val="18"/>
          <w:szCs w:val="18"/>
        </w:rPr>
      </w:pPr>
      <w:r>
        <w:rPr>
          <w:i/>
          <w:iCs/>
          <w:color w:val="808080" w:themeColor="background1" w:themeShade="80"/>
          <w:sz w:val="18"/>
          <w:szCs w:val="18"/>
        </w:rPr>
        <w:t>Nota. Clasificación binaria: Normal+Leve vs. Moderado+Severo. n = 540 noches, 8 pacientes, LOPO-CV estricto.</w:t>
      </w:r>
    </w:p>
    <w:p w14:paraId="2290AEFB" w14:textId="77777777" w:rsid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t>El modelo no solo funciona: funciona por las razones correctas. La superioridad de la logística sugiere que, una vez transformadas las señales en dimensiones PAC, la separación entre clases es aproximadamente lineal. Que M1 domine la predicción nocturna es la misma fisiología vista desde dos ángulos distintos del pipeline.</w:t>
      </w:r>
    </w:p>
    <w:p w14:paraId="5E50818A" w14:textId="175E54BF" w:rsidR="000541A6" w:rsidRPr="000541A6" w:rsidRDefault="000541A6" w:rsidP="000541A6">
      <w:pPr>
        <w:pStyle w:val="Ttulo2"/>
        <w:spacing w:line="360" w:lineRule="auto"/>
        <w:jc w:val="both"/>
        <w:rPr>
          <w:rFonts w:asciiTheme="minorHAnsi" w:hAnsiTheme="minorHAnsi"/>
          <w:b w:val="0"/>
          <w:bCs w:val="0"/>
          <w:sz w:val="24"/>
          <w:szCs w:val="24"/>
        </w:rPr>
      </w:pPr>
      <w:r w:rsidRPr="000541A6">
        <w:rPr>
          <w:rFonts w:asciiTheme="minorHAnsi" w:hAnsiTheme="minorHAnsi"/>
          <w:b w:val="0"/>
          <w:bCs w:val="0"/>
          <w:sz w:val="24"/>
          <w:szCs w:val="24"/>
        </w:rPr>
        <w:lastRenderedPageBreak/>
        <w:t>La senda de la noche ya está trazada. El modelo solo la descubre.</w:t>
      </w:r>
    </w:p>
    <w:p w14:paraId="53223055" w14:textId="2AEEB489" w:rsidR="00A9687A" w:rsidRPr="00D639C0" w:rsidRDefault="00000000" w:rsidP="00D639C0">
      <w:pPr>
        <w:pStyle w:val="Ttulo2"/>
        <w:spacing w:line="360" w:lineRule="auto"/>
        <w:rPr>
          <w:rFonts w:asciiTheme="minorHAnsi" w:hAnsiTheme="minorHAnsi"/>
        </w:rPr>
      </w:pPr>
      <w:r>
        <w:rPr>
          <w:rFonts w:asciiTheme="minorHAnsi" w:hAnsiTheme="minorHAnsi"/>
        </w:rPr>
        <w:t>6.9  Risk Score PAC</w:t>
      </w:r>
    </w:p>
    <w:p w14:paraId="4C6DDBEC"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El Risk Score PAC condensa la arquitectura fisiológica de una noche en un único número interpretable (0–100). Aquí no se contabilizan eventos: el Risk Score responde una pregunta distinta: ¿cómo transcurrió la noche fisiológicamente? Un paciente clasificado como Moderado puede obtener un score de 18 o de 84 según si sus eventos ocurrieron en estados protectores o en un sistema atrapado en M1. Esa diferencia, invisible para el índice de frecuencia, es exactamente lo que el Risk Score captura. Su valor práctico es poder evidenciar con un valor agregado lo que el índice convencional no distingue.</w:t>
      </w:r>
    </w:p>
    <w:p w14:paraId="2D9AC0E1" w14:textId="77777777" w:rsidR="00AE6E6E" w:rsidRPr="0060401D" w:rsidRDefault="00AE6E6E" w:rsidP="0060401D">
      <w:pPr>
        <w:pStyle w:val="font-claude-response-body"/>
        <w:spacing w:line="360" w:lineRule="auto"/>
        <w:jc w:val="both"/>
        <w:rPr>
          <w:rFonts w:asciiTheme="minorHAnsi" w:hAnsiTheme="minorHAnsi"/>
        </w:rPr>
      </w:pPr>
      <w:r w:rsidRPr="0060401D">
        <w:rPr>
          <w:rFonts w:asciiTheme="minorHAnsi" w:hAnsiTheme="minorHAnsi"/>
        </w:rPr>
        <w:t>En su composición el Risk Score integra la probabilidad de evento severo y la probabilidad de noche de alto riesgo en proporciones 40/60 (Tabla 6.9).</w:t>
      </w:r>
    </w:p>
    <w:p w14:paraId="2303A58C" w14:textId="47B6E86C" w:rsidR="00A9687A" w:rsidRPr="00D639C0" w:rsidRDefault="00000000" w:rsidP="00D639C0">
      <w:pPr>
        <w:spacing w:before="200" w:after="60" w:line="360" w:lineRule="auto"/>
        <w:rPr>
          <w:rFonts w:asciiTheme="minorHAnsi" w:hAnsiTheme="minorHAnsi"/>
        </w:rPr>
      </w:pPr>
      <w:r>
        <w:rPr>
          <w:rFonts w:asciiTheme="minorHAnsi" w:hAnsiTheme="minorHAnsi"/>
          <w:b/>
          <w:bCs/>
          <w:sz w:val="20"/>
          <w:szCs w:val="20"/>
        </w:rPr>
        <w:t>Tabla 6.9. Composición del Risk Score PAC (escala 0–100).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4536"/>
        <w:gridCol w:w="1418"/>
        <w:gridCol w:w="1346"/>
      </w:tblGrid>
      <w:tr w:rsidR="00A9687A" w:rsidRPr="00D639C0" w14:paraId="1FF4D945" w14:textId="77777777" w:rsidTr="00561E9A">
        <w:trPr>
          <w:tblHeader/>
        </w:trPr>
        <w:tc>
          <w:tcPr>
            <w:tcW w:w="1700"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DF29DFC"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Componente</w:t>
            </w:r>
          </w:p>
        </w:tc>
        <w:tc>
          <w:tcPr>
            <w:tcW w:w="453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3FA3BA3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Fuente</w:t>
            </w:r>
          </w:p>
        </w:tc>
        <w:tc>
          <w:tcPr>
            <w:tcW w:w="1418"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072CB35E"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Peso</w:t>
            </w:r>
          </w:p>
        </w:tc>
        <w:tc>
          <w:tcPr>
            <w:tcW w:w="1346" w:type="dxa"/>
            <w:tcBorders>
              <w:top w:val="single" w:sz="1" w:space="0" w:color="CCCCCC"/>
              <w:left w:val="single" w:sz="1" w:space="0" w:color="CCCCCC"/>
              <w:bottom w:val="single" w:sz="1" w:space="0" w:color="CCCCCC"/>
              <w:right w:val="single" w:sz="1" w:space="0" w:color="CCCCCC"/>
            </w:tcBorders>
            <w:shd w:val="clear" w:color="auto" w:fill="D5E8F0"/>
            <w:tcMar>
              <w:top w:w="60" w:type="dxa"/>
              <w:left w:w="100" w:type="dxa"/>
              <w:bottom w:w="60" w:type="dxa"/>
              <w:right w:w="100" w:type="dxa"/>
            </w:tcMar>
          </w:tcPr>
          <w:p w14:paraId="58E9E4A1" w14:textId="77777777" w:rsidR="00A9687A" w:rsidRPr="00D639C0" w:rsidRDefault="00000000" w:rsidP="00D639C0">
            <w:pPr>
              <w:spacing w:line="360" w:lineRule="auto"/>
              <w:rPr>
                <w:rFonts w:asciiTheme="minorHAnsi" w:hAnsiTheme="minorHAnsi"/>
              </w:rPr>
            </w:pPr>
            <w:r>
              <w:rPr>
                <w:rFonts w:asciiTheme="minorHAnsi" w:hAnsiTheme="minorHAnsi"/>
                <w:b/>
                <w:bCs/>
                <w:sz w:val="20"/>
                <w:szCs w:val="20"/>
              </w:rPr>
              <w:t>AUC base</w:t>
            </w:r>
          </w:p>
        </w:tc>
      </w:tr>
      <w:tr w:rsidR="00A9687A" w:rsidRPr="00D639C0" w14:paraId="15EED11D"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F3FEB4F"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evento</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2232F4DE" w14:textId="77777777" w:rsidR="00A9687A" w:rsidRPr="00561E9A" w:rsidRDefault="00000000" w:rsidP="00D639C0">
            <w:pPr>
              <w:spacing w:line="360" w:lineRule="auto"/>
              <w:rPr>
                <w:rFonts w:asciiTheme="minorHAnsi" w:hAnsiTheme="minorHAnsi"/>
                <w:sz w:val="20"/>
                <w:szCs w:val="20"/>
              </w:rPr>
            </w:pPr>
            <w:r>
              <w:rPr>
                <w:rFonts w:asciiTheme="minorHAnsi" w:hAnsiTheme="minorHAnsi"/>
                <w:sz w:val="20"/>
                <w:szCs w:val="20"/>
              </w:rPr>
              <w:t>LightGBM — predicción de evento</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17E8A0D9"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40 %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526F6126"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0,878</w:t>
            </w:r>
          </w:p>
        </w:tc>
      </w:tr>
      <w:tr w:rsidR="00A9687A" w:rsidRPr="00D639C0" w14:paraId="41114A0F" w14:textId="77777777" w:rsidTr="00561E9A">
        <w:tc>
          <w:tcPr>
            <w:tcW w:w="1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05D90501"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Score de noche</w:t>
            </w:r>
          </w:p>
        </w:tc>
        <w:tc>
          <w:tcPr>
            <w:tcW w:w="453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71A1A511" w14:textId="77777777" w:rsidR="00A9687A" w:rsidRPr="00561E9A" w:rsidRDefault="00561E9A" w:rsidP="00D639C0">
            <w:pPr>
              <w:spacing w:line="360" w:lineRule="auto"/>
              <w:rPr>
                <w:rFonts w:asciiTheme="minorHAnsi" w:hAnsiTheme="minorHAnsi"/>
                <w:sz w:val="20"/>
                <w:szCs w:val="20"/>
              </w:rPr>
            </w:pPr>
            <w:r>
              <w:rPr>
                <w:sz w:val="20"/>
                <w:szCs w:val="20"/>
              </w:rPr>
              <w:t>Regresión logística — clasificación nocturna</w:t>
            </w:r>
          </w:p>
        </w:tc>
        <w:tc>
          <w:tcPr>
            <w:tcW w:w="1418"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14675BC"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60 %</w:t>
            </w:r>
          </w:p>
        </w:tc>
        <w:tc>
          <w:tcPr>
            <w:tcW w:w="1346"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tcPr>
          <w:p w14:paraId="671F912D" w14:textId="77777777" w:rsidR="00A9687A" w:rsidRPr="00D639C0" w:rsidRDefault="00000000" w:rsidP="00D639C0">
            <w:pPr>
              <w:spacing w:line="360" w:lineRule="auto"/>
              <w:rPr>
                <w:rFonts w:asciiTheme="minorHAnsi" w:hAnsiTheme="minorHAnsi"/>
              </w:rPr>
            </w:pPr>
            <w:r>
              <w:rPr>
                <w:rFonts w:asciiTheme="minorHAnsi" w:hAnsiTheme="minorHAnsi"/>
                <w:sz w:val="20"/>
                <w:szCs w:val="20"/>
              </w:rPr>
              <w:t>0,874</w:t>
            </w:r>
          </w:p>
        </w:tc>
      </w:tr>
    </w:tbl>
    <w:p w14:paraId="4F52EBB4" w14:textId="77777777" w:rsidR="00A9687A" w:rsidRPr="00D639C0" w:rsidRDefault="00000000" w:rsidP="00D639C0">
      <w:pPr>
        <w:spacing w:after="100" w:line="360" w:lineRule="auto"/>
        <w:jc w:val="both"/>
        <w:rPr>
          <w:rFonts w:asciiTheme="minorHAnsi" w:hAnsiTheme="minorHAnsi"/>
        </w:rPr>
      </w:pPr>
      <w:r>
        <w:rPr>
          <w:rFonts w:asciiTheme="minorHAnsi" w:hAnsiTheme="minorHAnsi"/>
          <w:i/>
          <w:iCs/>
          <w:sz w:val="20"/>
          <w:szCs w:val="20"/>
        </w:rPr>
        <w:t>Nota. Fórmula: Risk Score = (0,40 × p_ev_norm + 0,60 × p_high_risk_night) × 100. Etiquetas: Bajo &lt; 30, Moderado 30–60, Alto &gt; 60.</w:t>
      </w:r>
    </w:p>
    <w:p w14:paraId="24320E6D"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número no es una probabilidad calibrada sino un índice ordinal: sirve para ordenar noches de menor a mayor compromiso fisiológico. Los umbrales de 30 y 60 son decisiones de diseño que definen tres categorías operativas —Bajo, Moderado, Alto—, no valores clínicamente validados.</w:t>
      </w:r>
    </w:p>
    <w:p w14:paraId="2F6031C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score muestra gradiente monótono: medianas de 29,2 (Normal), 29,4 (Leve), 72,9 (Moderado) y 81,0 (Severo). La proximidad Normal/Leve refleja el solapamiento de sus perfiles dinámicos en la cohorte (Fig. 6.9).</w:t>
      </w:r>
    </w:p>
    <w:p w14:paraId="29A79201" w14:textId="77777777" w:rsidR="00903C9F" w:rsidRPr="00903C9F" w:rsidRDefault="00903C9F" w:rsidP="00903C9F">
      <w:pPr>
        <w:spacing w:before="300" w:after="60"/>
        <w:rPr>
          <w:rFonts w:asciiTheme="minorHAnsi" w:hAnsiTheme="minorHAnsi"/>
          <w:b/>
          <w:bCs/>
          <w:sz w:val="20"/>
          <w:szCs w:val="20"/>
        </w:rPr>
      </w:pPr>
      <w:r w:rsidRPr="00903C9F">
        <w:rPr>
          <w:rFonts w:asciiTheme="minorHAnsi" w:hAnsiTheme="minorHAnsi"/>
          <w:b/>
          <w:bCs/>
          <w:sz w:val="20"/>
          <w:szCs w:val="20"/>
        </w:rPr>
        <w:t>Figura 6.9. Distribución del Risk Score PAC (0–100) por categoría clínica AASM.</w:t>
      </w:r>
    </w:p>
    <w:p w14:paraId="1C98F586" w14:textId="77777777" w:rsidR="00903C9F" w:rsidRDefault="00903C9F" w:rsidP="00903C9F">
      <w:pPr>
        <w:jc w:val="center"/>
      </w:pPr>
      <w:r>
        <w:rPr>
          <w:noProof/>
        </w:rPr>
        <w:lastRenderedPageBreak/>
        <w:drawing>
          <wp:inline distT="0" distB="0" distL="0" distR="0" wp14:anchorId="0367C9E2" wp14:editId="3FB896A7">
            <wp:extent cx="5943600" cy="2279147"/>
            <wp:effectExtent l="0" t="0" r="0" b="0"/>
            <wp:docPr id="286717996" name="fig6_6_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fig6_6_11png"/>
                    <pic:cNvPicPr/>
                  </pic:nvPicPr>
                  <pic:blipFill>
                    <a:blip r:embed="rId15"/>
                    <a:stretch>
                      <a:fillRect/>
                    </a:stretch>
                  </pic:blipFill>
                  <pic:spPr>
                    <a:xfrm>
                      <a:off x="0" y="0"/>
                      <a:ext cx="5943600" cy="2279147"/>
                    </a:xfrm>
                    <a:prstGeom prst="rect">
                      <a:avLst/>
                    </a:prstGeom>
                  </pic:spPr>
                </pic:pic>
              </a:graphicData>
            </a:graphic>
          </wp:inline>
        </w:drawing>
      </w:r>
    </w:p>
    <w:p w14:paraId="159C564D" w14:textId="0EC99330" w:rsidR="00903C9F" w:rsidRPr="00903C9F" w:rsidRDefault="00903C9F" w:rsidP="00903C9F">
      <w:pPr>
        <w:pStyle w:val="font-claude-response-body"/>
        <w:spacing w:line="360" w:lineRule="auto"/>
        <w:jc w:val="both"/>
        <w:rPr>
          <w:rFonts w:asciiTheme="minorHAnsi" w:hAnsiTheme="minorHAnsi"/>
          <w:i/>
          <w:iCs/>
          <w:color w:val="747474" w:themeColor="background2" w:themeShade="80"/>
          <w:sz w:val="18"/>
          <w:szCs w:val="18"/>
        </w:rPr>
      </w:pPr>
      <w:r w:rsidRPr="00903C9F">
        <w:rPr>
          <w:rFonts w:asciiTheme="minorHAnsi" w:hAnsiTheme="minorHAnsi"/>
          <w:i/>
          <w:iCs/>
          <w:color w:val="747474" w:themeColor="background2" w:themeShade="80"/>
          <w:sz w:val="18"/>
          <w:szCs w:val="18"/>
        </w:rPr>
        <w:t xml:space="preserve">Nota. Medianas: 29,2 (Normal) / 29,4 (Leve) / 72,9 (Moderado) / 81,0 (Severo). Umbral 60: captura 100 % Severas, 77,6 % Moderadas, 9,4 % Leves. n = 540 noches. </w:t>
      </w:r>
    </w:p>
    <w:p w14:paraId="5D6EAC87"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umbral de 60 puntos captura el 100 % de las noches Severas y el 77,6 % de las Moderadas con 9,4 % de falsos positivos en Leve. El caso clínicamente más valioso es la discordancia: un RS alto con ODI3 bajo o moderado indica que los eventos, aunque no frecuentes, ocurrieron en un sistema fisiológicamente comprometido — riesgo oculto que el índice convencional no detecta.</w:t>
      </w:r>
    </w:p>
    <w:p w14:paraId="79DDA928"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Risk Score no es una alarma: es un diagnóstico retrospectivo. Al procesar la noche en su totalidad, condensa en un número lo que el sistema fisiológico hizo y lo que el ODI3 no contó.</w:t>
      </w:r>
    </w:p>
    <w:p w14:paraId="47AF55DF" w14:textId="77777777" w:rsidR="0060401D" w:rsidRPr="0060401D" w:rsidRDefault="0060401D" w:rsidP="0060401D">
      <w:pPr>
        <w:pStyle w:val="font-claude-response-body"/>
        <w:spacing w:line="360" w:lineRule="auto"/>
        <w:jc w:val="both"/>
        <w:rPr>
          <w:rFonts w:asciiTheme="minorHAnsi" w:hAnsiTheme="minorHAnsi"/>
        </w:rPr>
      </w:pPr>
      <w:r w:rsidRPr="0060401D">
        <w:rPr>
          <w:rFonts w:asciiTheme="minorHAnsi" w:hAnsiTheme="minorHAnsi"/>
        </w:rPr>
        <w:t>El índice convencional marca un punto en el mapa. El Risk Score traza el camino que lo llevó hasta ahí.</w:t>
      </w:r>
    </w:p>
    <w:p w14:paraId="5BAF9258" w14:textId="77777777" w:rsidR="00A9687A" w:rsidRPr="00D639C0" w:rsidRDefault="00000000" w:rsidP="00D639C0">
      <w:pPr>
        <w:pStyle w:val="Ttulo2"/>
        <w:spacing w:line="360" w:lineRule="auto"/>
        <w:rPr>
          <w:rFonts w:asciiTheme="minorHAnsi" w:hAnsiTheme="minorHAnsi"/>
        </w:rPr>
      </w:pPr>
      <w:r>
        <w:rPr>
          <w:rFonts w:asciiTheme="minorHAnsi" w:hAnsiTheme="minorHAnsi"/>
        </w:rPr>
        <w:t>6.10  Limitaciones</w:t>
      </w:r>
    </w:p>
    <w:p w14:paraId="798E2078" w14:textId="77777777" w:rsidR="00CC2EEF" w:rsidRPr="00CC2EEF" w:rsidRDefault="00CC2EEF" w:rsidP="00CC2EEF">
      <w:pPr>
        <w:pStyle w:val="font-claude-response-body"/>
        <w:spacing w:line="360" w:lineRule="auto"/>
        <w:jc w:val="both"/>
        <w:rPr>
          <w:rFonts w:asciiTheme="minorHAnsi" w:hAnsiTheme="minorHAnsi"/>
        </w:rPr>
      </w:pPr>
      <w:r>
        <w:rPr>
          <w:rFonts w:asciiTheme="minorHAnsi" w:hAnsiTheme="minorHAnsi"/>
        </w:rPr>
        <w:t>Con n = 8 en la cohorte estricta, el LOPO-CV produce ocho puntos de rendimiento independientes: suficientes para estimar tendencias, no para certificación clínica. La varianza entre folds (AUC evento: 0,798–0,964) refleja heterogeneidad fisiológica real. La ausencia de polisomnografía concurrente restringe la comparación directa con el AHI.</w:t>
      </w:r>
    </w:p>
    <w:p w14:paraId="4BA6A123" w14:textId="119C1B64"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lastRenderedPageBreak/>
        <w:t>El Risk Score PAC requiere calibración externa y validación en cohortes independientes antes de cualquier uso asistencial.</w:t>
      </w:r>
    </w:p>
    <w:p w14:paraId="692ACAB7" w14:textId="77777777" w:rsidR="00A9687A" w:rsidRPr="0060401D" w:rsidRDefault="0060401D" w:rsidP="0060401D">
      <w:pPr>
        <w:spacing w:before="400" w:line="360" w:lineRule="auto"/>
        <w:jc w:val="both"/>
        <w:rPr>
          <w:rFonts w:asciiTheme="minorHAnsi" w:hAnsiTheme="minorHAnsi"/>
        </w:rPr>
      </w:pPr>
      <w:r w:rsidRPr="0060401D">
        <w:rPr>
          <w:rFonts w:asciiTheme="minorHAnsi" w:hAnsiTheme="minorHAnsi"/>
        </w:rPr>
        <w:t>La predicción en tiempo real con lead time explícito y habilitación del estimulador terapéutico es objeto del Capítulo 8.</w:t>
      </w:r>
    </w:p>
    <w:sectPr w:rsidR="00A9687A" w:rsidRPr="0060401D">
      <w:headerReference w:type="default" r:id="rId16"/>
      <w:pgSz w:w="11906" w:h="16838"/>
      <w:pgMar w:top="1701" w:right="1418"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98E42" w14:textId="77777777" w:rsidR="00EA7D7B" w:rsidRDefault="00EA7D7B">
      <w:r>
        <w:separator/>
      </w:r>
    </w:p>
  </w:endnote>
  <w:endnote w:type="continuationSeparator" w:id="0">
    <w:p w14:paraId="3328E72E" w14:textId="77777777" w:rsidR="00EA7D7B" w:rsidRDefault="00EA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A79FE5" w14:textId="77777777" w:rsidR="00EA7D7B" w:rsidRDefault="00EA7D7B">
      <w:r>
        <w:separator/>
      </w:r>
    </w:p>
  </w:footnote>
  <w:footnote w:type="continuationSeparator" w:id="0">
    <w:p w14:paraId="46B75B6D" w14:textId="77777777" w:rsidR="00EA7D7B" w:rsidRDefault="00EA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FC29A" w14:textId="77777777" w:rsidR="002B1B9F" w:rsidRPr="008F582A" w:rsidRDefault="00000000" w:rsidP="008F582A">
    <w:pPr>
      <w:pBdr>
        <w:bottom w:val="single" w:sz="4" w:space="1" w:color="auto"/>
      </w:pBdr>
      <w:rPr>
        <w:color w:val="747474" w:themeColor="background2" w:themeShade="80"/>
        <w:sz w:val="18"/>
        <w:szCs w:val="18"/>
      </w:rPr>
    </w:pPr>
    <w:r w:rsidRPr="008F582A">
      <w:rPr>
        <w:color w:val="747474" w:themeColor="background2" w:themeShade="80"/>
        <w:sz w:val="18"/>
        <w:szCs w:val="18"/>
      </w:rPr>
      <w:t xml:space="preserve">Proyecto PAC · Tesis de Maestría        </w:t>
    </w:r>
    <w:r w:rsidRPr="008F582A">
      <w:rPr>
        <w:i/>
        <w:iCs/>
        <w:color w:val="747474" w:themeColor="background2" w:themeShade="80"/>
        <w:sz w:val="18"/>
        <w:szCs w:val="18"/>
      </w:rPr>
      <w:t xml:space="preserve">Capítulo 6 — Modelado Predictivo </w:t>
    </w:r>
    <w:r w:rsidRPr="008F582A">
      <w:rPr>
        <w:color w:val="747474" w:themeColor="background2" w:themeShade="80"/>
        <w:sz w:val="18"/>
        <w:szCs w:val="18"/>
      </w:rPr>
      <w:t>(versión resumida v</w:t>
    </w:r>
    <w:r w:rsidR="00573786">
      <w:rPr>
        <w:color w:val="747474" w:themeColor="background2" w:themeShade="80"/>
        <w:sz w:val="18"/>
        <w:szCs w:val="18"/>
      </w:rPr>
      <w:t>8</w:t>
    </w:r>
    <w:r w:rsidRPr="008F582A">
      <w:rPr>
        <w:color w:val="747474" w:themeColor="background2" w:themeShade="80"/>
        <w:sz w:val="18"/>
        <w:szCs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D5BBB"/>
    <w:multiLevelType w:val="hybridMultilevel"/>
    <w:tmpl w:val="E048B782"/>
    <w:lvl w:ilvl="0" w:tplc="7B30708E">
      <w:start w:val="1"/>
      <w:numFmt w:val="bullet"/>
      <w:lvlText w:val="●"/>
      <w:lvlJc w:val="left"/>
      <w:pPr>
        <w:ind w:left="720" w:hanging="360"/>
      </w:pPr>
    </w:lvl>
    <w:lvl w:ilvl="1" w:tplc="853A8C98">
      <w:start w:val="1"/>
      <w:numFmt w:val="bullet"/>
      <w:lvlText w:val="○"/>
      <w:lvlJc w:val="left"/>
      <w:pPr>
        <w:ind w:left="1440" w:hanging="360"/>
      </w:pPr>
    </w:lvl>
    <w:lvl w:ilvl="2" w:tplc="477E3B68">
      <w:start w:val="1"/>
      <w:numFmt w:val="bullet"/>
      <w:lvlText w:val="■"/>
      <w:lvlJc w:val="left"/>
      <w:pPr>
        <w:ind w:left="2160" w:hanging="360"/>
      </w:pPr>
    </w:lvl>
    <w:lvl w:ilvl="3" w:tplc="7ECCD978">
      <w:start w:val="1"/>
      <w:numFmt w:val="bullet"/>
      <w:lvlText w:val="●"/>
      <w:lvlJc w:val="left"/>
      <w:pPr>
        <w:ind w:left="2880" w:hanging="360"/>
      </w:pPr>
    </w:lvl>
    <w:lvl w:ilvl="4" w:tplc="940AF048">
      <w:start w:val="1"/>
      <w:numFmt w:val="bullet"/>
      <w:lvlText w:val="○"/>
      <w:lvlJc w:val="left"/>
      <w:pPr>
        <w:ind w:left="3600" w:hanging="360"/>
      </w:pPr>
    </w:lvl>
    <w:lvl w:ilvl="5" w:tplc="7C229FBA">
      <w:start w:val="1"/>
      <w:numFmt w:val="bullet"/>
      <w:lvlText w:val="■"/>
      <w:lvlJc w:val="left"/>
      <w:pPr>
        <w:ind w:left="4320" w:hanging="360"/>
      </w:pPr>
    </w:lvl>
    <w:lvl w:ilvl="6" w:tplc="2A38F96E">
      <w:start w:val="1"/>
      <w:numFmt w:val="bullet"/>
      <w:lvlText w:val="●"/>
      <w:lvlJc w:val="left"/>
      <w:pPr>
        <w:ind w:left="5040" w:hanging="360"/>
      </w:pPr>
    </w:lvl>
    <w:lvl w:ilvl="7" w:tplc="A5622972">
      <w:start w:val="1"/>
      <w:numFmt w:val="bullet"/>
      <w:lvlText w:val="●"/>
      <w:lvlJc w:val="left"/>
      <w:pPr>
        <w:ind w:left="5760" w:hanging="360"/>
      </w:pPr>
    </w:lvl>
    <w:lvl w:ilvl="8" w:tplc="57805D26">
      <w:start w:val="1"/>
      <w:numFmt w:val="bullet"/>
      <w:lvlText w:val="●"/>
      <w:lvlJc w:val="left"/>
      <w:pPr>
        <w:ind w:left="6480" w:hanging="360"/>
      </w:pPr>
    </w:lvl>
  </w:abstractNum>
  <w:num w:numId="1" w16cid:durableId="15422806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687A"/>
    <w:rsid w:val="00030636"/>
    <w:rsid w:val="000370B1"/>
    <w:rsid w:val="000541A6"/>
    <w:rsid w:val="00076435"/>
    <w:rsid w:val="00120EA2"/>
    <w:rsid w:val="00135873"/>
    <w:rsid w:val="00150AC0"/>
    <w:rsid w:val="00160940"/>
    <w:rsid w:val="00166285"/>
    <w:rsid w:val="001F7132"/>
    <w:rsid w:val="0021509E"/>
    <w:rsid w:val="00285D38"/>
    <w:rsid w:val="002A2ABE"/>
    <w:rsid w:val="002B1B9F"/>
    <w:rsid w:val="002D569F"/>
    <w:rsid w:val="002F607E"/>
    <w:rsid w:val="002F7285"/>
    <w:rsid w:val="00320A6A"/>
    <w:rsid w:val="00360CE6"/>
    <w:rsid w:val="00386647"/>
    <w:rsid w:val="003912EA"/>
    <w:rsid w:val="003A0B49"/>
    <w:rsid w:val="003A173E"/>
    <w:rsid w:val="00407470"/>
    <w:rsid w:val="0042185E"/>
    <w:rsid w:val="00453E6B"/>
    <w:rsid w:val="004774AE"/>
    <w:rsid w:val="004C3724"/>
    <w:rsid w:val="004D245D"/>
    <w:rsid w:val="004F6C2C"/>
    <w:rsid w:val="005452D4"/>
    <w:rsid w:val="00561E9A"/>
    <w:rsid w:val="00573786"/>
    <w:rsid w:val="005E7823"/>
    <w:rsid w:val="0060401D"/>
    <w:rsid w:val="0066574C"/>
    <w:rsid w:val="006B067C"/>
    <w:rsid w:val="006E0D21"/>
    <w:rsid w:val="007115A3"/>
    <w:rsid w:val="00740724"/>
    <w:rsid w:val="007433C2"/>
    <w:rsid w:val="0075335A"/>
    <w:rsid w:val="007B0DF7"/>
    <w:rsid w:val="007C078B"/>
    <w:rsid w:val="007D62B0"/>
    <w:rsid w:val="008038EF"/>
    <w:rsid w:val="008276F2"/>
    <w:rsid w:val="00833978"/>
    <w:rsid w:val="00874470"/>
    <w:rsid w:val="00876E61"/>
    <w:rsid w:val="008B1AB5"/>
    <w:rsid w:val="009005C3"/>
    <w:rsid w:val="00903C9F"/>
    <w:rsid w:val="00975CF1"/>
    <w:rsid w:val="00980146"/>
    <w:rsid w:val="009C49D7"/>
    <w:rsid w:val="00A03C7F"/>
    <w:rsid w:val="00A10CEA"/>
    <w:rsid w:val="00A4213E"/>
    <w:rsid w:val="00A9687A"/>
    <w:rsid w:val="00AA0141"/>
    <w:rsid w:val="00AA0194"/>
    <w:rsid w:val="00AE6E6E"/>
    <w:rsid w:val="00AF13E8"/>
    <w:rsid w:val="00AF5B3D"/>
    <w:rsid w:val="00B415DA"/>
    <w:rsid w:val="00B84E68"/>
    <w:rsid w:val="00BA0B19"/>
    <w:rsid w:val="00C76BF5"/>
    <w:rsid w:val="00C96A54"/>
    <w:rsid w:val="00CA34F0"/>
    <w:rsid w:val="00CB29B7"/>
    <w:rsid w:val="00CC2EEF"/>
    <w:rsid w:val="00CC4DA3"/>
    <w:rsid w:val="00CD7266"/>
    <w:rsid w:val="00CD7DAA"/>
    <w:rsid w:val="00CE33FF"/>
    <w:rsid w:val="00D43F7C"/>
    <w:rsid w:val="00D50E98"/>
    <w:rsid w:val="00D54A6F"/>
    <w:rsid w:val="00D639C0"/>
    <w:rsid w:val="00D71786"/>
    <w:rsid w:val="00E67DFE"/>
    <w:rsid w:val="00E70F72"/>
    <w:rsid w:val="00E9554E"/>
    <w:rsid w:val="00EA2E08"/>
    <w:rsid w:val="00EA7D7B"/>
    <w:rsid w:val="00EB0EA1"/>
    <w:rsid w:val="00EC3061"/>
    <w:rsid w:val="00F0297D"/>
    <w:rsid w:val="00F85D3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5BBED"/>
  <w15:docId w15:val="{E2B8AE59-5EF7-8144-A389-3E74CA499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AR"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unhideWhenUsed/>
    <w:qFormat/>
    <w:pPr>
      <w:spacing w:before="300" w:after="120"/>
      <w:outlineLvl w:val="1"/>
    </w:pPr>
    <w:rPr>
      <w:b/>
      <w:bCs/>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NormalWeb">
    <w:name w:val="Normal (Web)"/>
    <w:basedOn w:val="Normal"/>
    <w:uiPriority w:val="99"/>
    <w:unhideWhenUsed/>
    <w:rsid w:val="00D639C0"/>
    <w:pPr>
      <w:spacing w:before="100" w:beforeAutospacing="1" w:after="100" w:afterAutospacing="1"/>
    </w:pPr>
    <w:rPr>
      <w:rFonts w:ascii="Times New Roman" w:eastAsia="Times New Roman" w:hAnsi="Times New Roman" w:cs="Times New Roman"/>
    </w:rPr>
  </w:style>
  <w:style w:type="character" w:customStyle="1" w:styleId="absolute">
    <w:name w:val="absolute"/>
    <w:basedOn w:val="Fuentedeprrafopredeter"/>
    <w:rsid w:val="00CC4DA3"/>
  </w:style>
  <w:style w:type="character" w:customStyle="1" w:styleId="inline-flex">
    <w:name w:val="inline-flex"/>
    <w:basedOn w:val="Fuentedeprrafopredeter"/>
    <w:rsid w:val="00CC4DA3"/>
  </w:style>
  <w:style w:type="character" w:customStyle="1" w:styleId="transition-all">
    <w:name w:val="transition-all"/>
    <w:basedOn w:val="Fuentedeprrafopredeter"/>
    <w:rsid w:val="00CC4DA3"/>
  </w:style>
  <w:style w:type="paragraph" w:customStyle="1" w:styleId="font-claude-response-body">
    <w:name w:val="font-claude-response-body"/>
    <w:basedOn w:val="Normal"/>
    <w:rsid w:val="00CC4DA3"/>
    <w:pPr>
      <w:spacing w:before="100" w:beforeAutospacing="1" w:after="100" w:afterAutospacing="1"/>
    </w:pPr>
    <w:rPr>
      <w:rFonts w:ascii="Times New Roman" w:eastAsia="Times New Roman" w:hAnsi="Times New Roman" w:cs="Times New Roman"/>
    </w:rPr>
  </w:style>
  <w:style w:type="character" w:styleId="nfasis">
    <w:name w:val="Emphasis"/>
    <w:basedOn w:val="Fuentedeprrafopredeter"/>
    <w:uiPriority w:val="20"/>
    <w:qFormat/>
    <w:rsid w:val="002F7285"/>
    <w:rPr>
      <w:i/>
      <w:iCs/>
    </w:rPr>
  </w:style>
  <w:style w:type="paragraph" w:styleId="Encabezado">
    <w:name w:val="header"/>
    <w:basedOn w:val="Normal"/>
    <w:link w:val="EncabezadoCar"/>
    <w:uiPriority w:val="99"/>
    <w:unhideWhenUsed/>
    <w:rsid w:val="00573786"/>
    <w:pPr>
      <w:tabs>
        <w:tab w:val="center" w:pos="4419"/>
        <w:tab w:val="right" w:pos="8838"/>
      </w:tabs>
    </w:pPr>
  </w:style>
  <w:style w:type="character" w:customStyle="1" w:styleId="EncabezadoCar">
    <w:name w:val="Encabezado Car"/>
    <w:basedOn w:val="Fuentedeprrafopredeter"/>
    <w:link w:val="Encabezado"/>
    <w:uiPriority w:val="99"/>
    <w:rsid w:val="00573786"/>
  </w:style>
  <w:style w:type="paragraph" w:styleId="Piedepgina">
    <w:name w:val="footer"/>
    <w:basedOn w:val="Normal"/>
    <w:link w:val="PiedepginaCar"/>
    <w:uiPriority w:val="99"/>
    <w:unhideWhenUsed/>
    <w:rsid w:val="00573786"/>
    <w:pPr>
      <w:tabs>
        <w:tab w:val="center" w:pos="4419"/>
        <w:tab w:val="right" w:pos="8838"/>
      </w:tabs>
    </w:pPr>
  </w:style>
  <w:style w:type="character" w:customStyle="1" w:styleId="PiedepginaCar">
    <w:name w:val="Pie de página Car"/>
    <w:basedOn w:val="Fuentedeprrafopredeter"/>
    <w:link w:val="Piedepgina"/>
    <w:uiPriority w:val="99"/>
    <w:rsid w:val="005737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2637</Words>
  <Characters>13781</Characters>
  <Application>Microsoft Office Word</Application>
  <DocSecurity>0</DocSecurity>
  <Lines>407</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Roberto Inza</cp:lastModifiedBy>
  <cp:revision>2</cp:revision>
  <dcterms:created xsi:type="dcterms:W3CDTF">2026-06-05T21:42:00Z</dcterms:created>
  <dcterms:modified xsi:type="dcterms:W3CDTF">2026-06-05T21:42:00Z</dcterms:modified>
</cp:coreProperties>
</file>