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10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 xml:space="preserve">de evento severo </w:t>
      </w:r>
      <w:r w:rsidR="002A2ABE">
        <w:rPr>
          <w:rFonts w:asciiTheme="minorHAnsi" w:hAnsiTheme="minorHAnsi"/>
        </w:rPr>
        <w:t>(</w:t>
      </w:r>
      <w:r w:rsidR="00CC4DA3">
        <w:rPr>
          <w:rFonts w:asciiTheme="minorHAnsi" w:hAnsiTheme="minorHAnsi"/>
        </w:rPr>
        <w:t>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w:t>
      </w:r>
      <w:r w:rsidRPr="002A2ABE">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 Usarlos en conjunto triplica</w:t>
      </w:r>
      <w:r>
        <w:rPr>
          <w:rFonts w:asciiTheme="minorHAnsi" w:hAnsiTheme="minorHAnsi"/>
          <w:b w:val="0"/>
          <w:bCs w:val="0"/>
          <w:sz w:val="24"/>
          <w:szCs w:val="24"/>
        </w:rPr>
        <w:t>ría</w:t>
      </w:r>
      <w:r w:rsidRPr="008276F2">
        <w:rPr>
          <w:rFonts w:asciiTheme="minorHAnsi" w:hAnsiTheme="minorHAnsi"/>
          <w:b w:val="0"/>
          <w:bCs w:val="0"/>
          <w:sz w:val="24"/>
          <w:szCs w:val="24"/>
        </w:rPr>
        <w:t xml:space="preserve"> la información disponible.</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sidRPr="00150AC0">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predominantemente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t>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sidRPr="002A2ABE">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sidRPr="002A2ABE">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de 18 o de 84 según si sus eventos ocurrieron en estados protectores o en un sistema atrapado en M1.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29,2 (Normal), 29,4 (Leve), 72,9 (Moderado) y 81,0 (Severo). La proximidad Normal/Leve refleja el solapamiento de sus perfiles dinámicos en la cohorte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29,2 (Normal) / 29,4 (Leve) / 72,9 (Moderado) / 81,0 (Severo). Umbral 60: captura 100 % Severas, 77,6 % Moderadas, 9,4 %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77,6 % de las Moderadas con 9,4 %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