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11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sidRPr="00AA0194">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sidRPr="00975CF1">
        <w:rPr>
          <w:rFonts w:asciiTheme="minorHAnsi" w:hAnsiTheme="minorHAnsi"/>
        </w:rPr>
        <w:t>Los resultados sugieren una asociación consistente entre morfotipos y estados PAC en las tres escalas, que decrece al ampliar la ventana temporal</w:t>
      </w:r>
      <w:r w:rsidR="00CC4DA3">
        <w:rPr>
          <w:rFonts w:asciiTheme="minorHAnsi" w:hAnsiTheme="minorHAnsi"/>
        </w:rPr>
        <w:t xml:space="preserve">: V de Cramér = 0,355 (S), 0,229 (M) y 0,194 (L) sobre 83.892 eventos. El riesgo relativo </w:t>
      </w:r>
      <w:r>
        <w:rPr>
          <w:rFonts w:asciiTheme="minorHAnsi" w:hAnsiTheme="minorHAnsi"/>
        </w:rPr>
        <w:t>(</w:t>
      </w:r>
      <w:r w:rsidRPr="00975CF1">
        <w:rPr>
          <w:rFonts w:asciiTheme="minorHAnsi" w:hAnsiTheme="minorHAnsi"/>
          <w:b/>
          <w:bCs/>
        </w:rPr>
        <w:t>RR</w:t>
      </w:r>
      <w:r>
        <w:rPr>
          <w:rFonts w:asciiTheme="minorHAnsi" w:hAnsiTheme="minorHAnsi"/>
        </w:rPr>
        <w:t xml:space="preserve">) </w:t>
      </w:r>
      <w:r w:rsidR="00CC4DA3">
        <w:rPr>
          <w:rFonts w:asciiTheme="minorHAnsi" w:hAnsiTheme="minorHAnsi"/>
        </w:rPr>
        <w:t xml:space="preserve">de evento severo </w:t>
      </w:r>
      <w:r w:rsidR="002A2ABE">
        <w:rPr>
          <w:rFonts w:asciiTheme="minorHAnsi" w:hAnsiTheme="minorHAnsi"/>
        </w:rPr>
        <w:t>(</w:t>
      </w:r>
      <w:r w:rsidR="00CC4DA3">
        <w:rPr>
          <w:rFonts w:asciiTheme="minorHAnsi" w:hAnsiTheme="minorHAnsi"/>
        </w:rPr>
        <w:t>prevalencia base 5,97 %</w:t>
      </w:r>
      <w:r>
        <w:rPr>
          <w:rFonts w:asciiTheme="minorHAnsi" w:hAnsiTheme="minorHAnsi"/>
        </w:rPr>
        <w:t>)</w:t>
      </w:r>
      <w:r w:rsidR="00CC4DA3">
        <w:rPr>
          <w:rFonts w:asciiTheme="minorHAnsi" w:hAnsiTheme="minorHAnsi"/>
        </w:rPr>
        <w:t xml:space="preserve"> alcanza hasta 4,7× en estados patológicos y cae por debajo del 2 % en estados protectores (Figs. 6.</w:t>
      </w:r>
      <w:r w:rsidR="00EB0EA1">
        <w:rPr>
          <w:rFonts w:asciiTheme="minorHAnsi" w:hAnsiTheme="minorHAnsi"/>
        </w:rPr>
        <w:t>2</w:t>
      </w:r>
      <w:r w:rsidR="00CC4DA3">
        <w:rPr>
          <w:rFonts w:asciiTheme="minorHAnsi" w:hAnsiTheme="minorHAnsi"/>
        </w:rPr>
        <w:t xml:space="preserve"> y 6.3).</w:t>
      </w:r>
    </w:p>
    <w:p w14:paraId="20E8573F" w14:textId="17B204AD"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w:t>
      </w:r>
      <w:r w:rsidR="00EB0EA1" w:rsidRPr="00EB0EA1">
        <w:rPr>
          <w:rFonts w:asciiTheme="minorHAnsi" w:hAnsiTheme="minorHAnsi"/>
          <w:b/>
          <w:bCs/>
          <w:sz w:val="20"/>
          <w:szCs w:val="20"/>
        </w:rPr>
        <w:t>2</w:t>
      </w:r>
      <w:r w:rsidRPr="00EB0EA1">
        <w:rPr>
          <w:rFonts w:asciiTheme="minorHAnsi" w:hAnsiTheme="minorHAnsi"/>
          <w:b/>
          <w:bCs/>
          <w:sz w:val="20"/>
          <w:szCs w:val="20"/>
        </w:rPr>
        <w:t>.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Nota. Los estados patológicos S6, M1 y L0 presentan los RR más elevados (4,70×, 3,29× y 1,98×). La magnitud del RR decrece con la escala temporal. P(severo) marginal = 5,97 %.</w:t>
      </w:r>
    </w:p>
    <w:p w14:paraId="702850A4" w14:textId="634608EC"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0,231. </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sidRPr="008B1AB5">
        <w:rPr>
          <w:rFonts w:asciiTheme="minorHAnsi" w:hAnsiTheme="minorHAnsi"/>
          <w:b w:val="0"/>
          <w:bCs w:val="0"/>
          <w:sz w:val="24"/>
          <w:szCs w:val="24"/>
        </w:rPr>
        <w:t>El estado PAC no es el fondo del evento: es el terreno. La misma caída de SpO</w:t>
      </w:r>
      <w:r w:rsidRPr="008B1AB5">
        <w:rPr>
          <w:rFonts w:asciiTheme="minorHAnsi" w:hAnsiTheme="minorHAnsi" w:cs="Cambria Math"/>
          <w:b w:val="0"/>
          <w:bCs w:val="0"/>
          <w:sz w:val="24"/>
          <w:szCs w:val="24"/>
        </w:rPr>
        <w:t>₂</w:t>
      </w:r>
      <w:r w:rsidRPr="008B1AB5">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sidRPr="007433C2">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sidRPr="007433C2">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sidRPr="007433C2">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sidRPr="007433C2">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w:t>
      </w:r>
      <w:r w:rsidRPr="002A2ABE">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sidRPr="007433C2">
        <w:rPr>
          <w:rFonts w:asciiTheme="minorHAnsi" w:hAnsiTheme="minorHAnsi"/>
        </w:rPr>
        <w:t>Un hallazgo relevante es la independencia casi total entre las escalas S y M: la correlación entre</w:t>
      </w:r>
      <w:r>
        <w:t xml:space="preserve"> </w:t>
      </w:r>
      <w:r w:rsidR="002F607E" w:rsidRPr="007433C2">
        <w:rPr>
          <w:rFonts w:asciiTheme="minorHAnsi" w:hAnsiTheme="minorHAnsi"/>
          <w:b/>
          <w:bCs/>
        </w:rPr>
        <w:t xml:space="preserve">ci_s </w:t>
      </w:r>
      <w:r w:rsidR="002F607E" w:rsidRPr="007433C2">
        <w:rPr>
          <w:rFonts w:asciiTheme="minorHAnsi" w:hAnsiTheme="minorHAnsi"/>
        </w:rPr>
        <w:t>y</w:t>
      </w:r>
      <w:r w:rsidR="002F607E" w:rsidRPr="007433C2">
        <w:rPr>
          <w:rFonts w:asciiTheme="minorHAnsi" w:hAnsiTheme="minorHAnsi"/>
          <w:b/>
          <w:bCs/>
        </w:rPr>
        <w:t xml:space="preserve"> ci_m</w:t>
      </w:r>
      <w:r w:rsidR="002F607E">
        <w:rPr>
          <w:rFonts w:asciiTheme="minorHAnsi" w:hAnsiTheme="minorHAnsi"/>
        </w:rPr>
        <w:t xml:space="preserve"> </w:t>
      </w:r>
      <w:r w:rsidR="00B84E68">
        <w:rPr>
          <w:rFonts w:asciiTheme="minorHAnsi" w:hAnsiTheme="minorHAnsi"/>
        </w:rPr>
        <w:t>es</w:t>
      </w:r>
      <w:r w:rsidR="002F607E">
        <w:rPr>
          <w:rFonts w:asciiTheme="minorHAnsi" w:hAnsiTheme="minorHAnsi"/>
        </w:rPr>
        <w:t xml:space="preserve"> prácticamente </w:t>
      </w:r>
      <w:r w:rsidR="00B84E68">
        <w:rPr>
          <w:rFonts w:asciiTheme="minorHAnsi" w:hAnsiTheme="minorHAnsi"/>
        </w:rPr>
        <w:t>nula</w:t>
      </w:r>
      <w:r w:rsidR="002F607E">
        <w:rPr>
          <w:rFonts w:asciiTheme="minorHAnsi" w:hAnsiTheme="minorHAnsi"/>
        </w:rPr>
        <w:t xml:space="preserve"> (r = 0,066): la concentración en estados patológicos de 30 s no predice el comportamiento en ventanas de 5 min. La correlación moderada </w:t>
      </w:r>
      <w:r w:rsidR="00B84E68">
        <w:rPr>
          <w:rFonts w:asciiTheme="minorHAnsi" w:hAnsiTheme="minorHAnsi"/>
        </w:rPr>
        <w:t xml:space="preserve">entre </w:t>
      </w:r>
      <w:r w:rsidR="002F607E">
        <w:rPr>
          <w:rFonts w:asciiTheme="minorHAnsi" w:hAnsiTheme="minorHAnsi"/>
        </w:rPr>
        <w:t>ci_m</w:t>
      </w:r>
      <w:r>
        <w:rPr>
          <w:rFonts w:asciiTheme="minorHAnsi" w:hAnsiTheme="minorHAnsi"/>
        </w:rPr>
        <w:t xml:space="preserve"> </w:t>
      </w:r>
      <w:r w:rsidR="00B84E68">
        <w:rPr>
          <w:rFonts w:asciiTheme="minorHAnsi" w:hAnsiTheme="minorHAnsi"/>
        </w:rPr>
        <w:t>y</w:t>
      </w:r>
      <w:r>
        <w:rPr>
          <w:rFonts w:asciiTheme="minorHAnsi" w:hAnsiTheme="minorHAnsi"/>
        </w:rPr>
        <w:t xml:space="preserve"> </w:t>
      </w:r>
      <w:r w:rsidR="002F607E">
        <w:rPr>
          <w:rFonts w:asciiTheme="minorHAnsi" w:hAnsiTheme="minorHAnsi"/>
        </w:rPr>
        <w:t>ci_l (r = 0,291) refleja mayor solapamiento temporal entre escalas contiguas. Esta independencia justifica el uso combinado de las tres métricas sin riesgo de multicolinealidad</w:t>
      </w:r>
      <w:r>
        <w:rPr>
          <w:rFonts w:asciiTheme="minorHAnsi" w:hAnsiTheme="minorHAnsi"/>
        </w:rPr>
        <w:t xml:space="preserve"> (Tabla 6.3)</w:t>
      </w:r>
      <w:r w:rsidR="002F607E">
        <w:rPr>
          <w:rFonts w:asciiTheme="minorHAnsi" w:hAnsiTheme="minorHAnsi"/>
        </w:rPr>
        <w:t>.</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sidRPr="007433C2">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sidRPr="008276F2">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 Cada CI captura una dimensión del acoplamiento que los otros dos no contienen.</w:t>
      </w:r>
      <w:r>
        <w:rPr>
          <w:rFonts w:asciiTheme="minorHAnsi" w:hAnsiTheme="minorHAnsi"/>
          <w:b w:val="0"/>
          <w:bCs w:val="0"/>
          <w:sz w:val="24"/>
          <w:szCs w:val="24"/>
        </w:rPr>
      </w:r>
      <w:r w:rsidRPr="008276F2">
        <w:rPr>
          <w:rFonts w:asciiTheme="minorHAnsi" w:hAnsiTheme="minorHAnsi"/>
          <w:b w:val="0"/>
          <w:bCs w:val="0"/>
          <w:sz w:val="24"/>
          <w:szCs w:val="24"/>
        </w:rPr>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Tras un evento severo, la probabilidad de permanecer en estado patológico cae con la escala: 43,3 % a los 30 s, 12,3 % a los 5 min y 1,3 % a los 30 min (Fig. 6.5</w:t>
      </w:r>
      <w:r w:rsidR="00AA0141">
        <w:rPr>
          <w:rFonts w:asciiTheme="minorHAnsi" w:hAnsiTheme="minorHAnsi"/>
        </w:rPr>
        <w:t>, Tabla 6.4</w:t>
      </w:r>
      <w:r>
        <w:rPr>
          <w:rFonts w:asciiTheme="minorHAnsi" w:hAnsiTheme="minorHAnsi"/>
        </w:rPr>
        <w:t xml:space="preserve">). </w:t>
      </w:r>
    </w:p>
    <w:p w14:paraId="1A3D25D6" w14:textId="77777777" w:rsidR="00135873" w:rsidRPr="00135873" w:rsidRDefault="00135873" w:rsidP="00135873">
      <w:pPr>
        <w:spacing w:before="300" w:after="60"/>
        <w:rPr>
          <w:b/>
          <w:bCs/>
          <w:sz w:val="20"/>
          <w:szCs w:val="20"/>
        </w:rPr>
      </w:pPr>
      <w:r w:rsidRPr="00135873">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sidRPr="00135873">
        <w:rPr>
          <w:i/>
          <w:iCs/>
          <w:color w:val="747474" w:themeColor="background2" w:themeShade="80"/>
          <w:sz w:val="18"/>
          <w:szCs w:val="18"/>
        </w:rPr>
        <w:t xml:space="preserve">Nota. Probabilidad de permanecer en estado patológico tras evento severo (C4/C5): 43,3 % a los 30 s, 12,3 % a los 5 min, 1,3 % a los 30 min. </w:t>
      </w:r>
    </w:p>
    <w:p w14:paraId="51EAC26C" w14:textId="77777777" w:rsidR="00AA0141" w:rsidRPr="00135873" w:rsidRDefault="00AA0141" w:rsidP="00AA0141">
      <w:pPr>
        <w:spacing w:before="280" w:after="80"/>
        <w:rPr>
          <w:rFonts w:asciiTheme="minorHAnsi" w:hAnsiTheme="minorHAnsi"/>
        </w:rPr>
      </w:pPr>
      <w:r w:rsidRPr="00135873">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w:t>
            </w:r>
            <w:r w:rsidR="005452D4">
              <w:rPr>
                <w:rFonts w:asciiTheme="minorHAnsi" w:hAnsiTheme="minorHAnsi"/>
                <w:sz w:val="20"/>
                <w:szCs w:val="20"/>
              </w:rPr>
              <w:t xml:space="preserve"> </w:t>
            </w:r>
            <w:r>
              <w:rPr>
                <w:rFonts w:asciiTheme="minorHAnsi" w:hAnsiTheme="minorHAnsi"/>
                <w:sz w:val="20"/>
                <w:szCs w:val="20"/>
              </w:rPr>
              <w:t>%</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sidRPr="00150AC0">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sidRPr="005452D4">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K-means (K = 3) identificó tres fenotipos de trayectoria nocturna (Fig. 6.14, Anexo Suplementario</w:t>
      </w:r>
      <w:r w:rsidR="00F85D36">
        <w:rPr>
          <w:rFonts w:asciiTheme="minorHAnsi" w:hAnsiTheme="minorHAnsi"/>
        </w:rPr>
        <w:t xml:space="preserve">; </w:t>
      </w:r>
      <w:r>
        <w:rPr>
          <w:rFonts w:asciiTheme="minorHAnsi" w:hAnsiTheme="minorHAnsi"/>
        </w:rPr>
        <w:t xml:space="preserve">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 xml:space="preserve">Cada fenotipo está caracterizado en </w:t>
      </w:r>
      <w:r w:rsidR="007C078B">
        <w:rPr>
          <w:rFonts w:asciiTheme="minorHAnsi" w:hAnsiTheme="minorHAnsi"/>
        </w:rPr>
        <w:t>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predominantemente en pacientes con severidad AASM Moderada — un hallazgo que el fenotipo dinámico captura y el ODI3 no. El ARI es prácticamente invariante entre fenotipos (diferencia máxima &lt; 0,25), confirmando su independencia respecto a la arquitectura de severidad dinámica (consistente con su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sidRPr="00AA0141">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sidRPr="00EC3061">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sidRPr="00D50E98">
        <w:rPr>
          <w:rFonts w:asciiTheme="minorHAnsi" w:hAnsiTheme="minorHAnsi"/>
        </w:rPr>
        <w:t xml:space="preserve">El modelo PAC-only alcanza balanced accuracy = 0,521 ± 0,218, superando al de índices clínicos convencionales (0,354 ± 0,294). El ARI solo obtiene la balanced </w:t>
      </w:r>
      <w:r w:rsidRPr="00D50E98">
        <w:rPr>
          <w:rFonts w:asciiTheme="minorHAnsi" w:hAnsiTheme="minorHAnsi"/>
        </w:rPr>
        <w:t>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sidRPr="002A2ABE">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sidRPr="002A2ABE">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sidRPr="00EC3061">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sidRPr="006E0D21">
        <w:rPr>
          <w:rFonts w:asciiTheme="minorHAnsi" w:hAnsiTheme="minorHAnsi"/>
        </w:rPr>
        <w:t xml:space="preserve">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A diferencia del conteo de eventos severos —que mide cuántos C4/C5 hubo— el modelo genera una probabilidad continua que captura con qué intensidad el sistema estuvo en riesgo a lo largo de la noche. Esa probabilidad promediada evento a evento alimenta el Risk Score </w:t>
      </w:r>
      <w:r>
        <w:rPr>
          <w:rFonts w:asciiTheme="minorHAnsi" w:hAnsiTheme="minorHAnsi"/>
        </w:rPr>
        <w:t>PAC</w:t>
      </w:r>
      <w:r w:rsidR="008038EF">
        <w:rPr>
          <w:rFonts w:asciiTheme="minorHAnsi" w:hAnsiTheme="minorHAnsi"/>
        </w:rPr>
        <w:t>, que cuantifica la severidad de la noche en su conjunto</w:t>
      </w:r>
      <w:r w:rsidRPr="006E0D21">
        <w:rPr>
          <w:rFonts w:asciiTheme="minorHAnsi" w:hAnsiTheme="minorHAnsi"/>
        </w:rPr>
        <w:t>: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sidRPr="006E0D21">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lastRenderedPageBreak/>
        <w:t xml:space="preserve">El modelo de clasificación nocturna distingue </w:t>
      </w:r>
      <w:r w:rsidR="008038EF">
        <w:rPr>
          <w:rFonts w:asciiTheme="minorHAnsi" w:hAnsiTheme="minorHAnsi"/>
        </w:rPr>
        <w:t xml:space="preserve">en forma binaria entre </w:t>
      </w:r>
      <w:r>
        <w:rPr>
          <w:rFonts w:asciiTheme="minorHAnsi" w:hAnsiTheme="minorHAnsi"/>
        </w:rPr>
        <w:t xml:space="preserve">Normal+Leve </w:t>
      </w:r>
      <w:r w:rsidR="008038EF">
        <w:rPr>
          <w:rFonts w:asciiTheme="minorHAnsi" w:hAnsiTheme="minorHAnsi"/>
        </w:rPr>
        <w:t xml:space="preserve">y </w:t>
      </w:r>
      <w:r>
        <w:rPr>
          <w:rFonts w:asciiTheme="minorHAnsi" w:hAnsiTheme="minorHAnsi"/>
        </w:rPr>
        <w:t xml:space="preserve"> Moderado+Severo sobre 540 noches (32,0 % positivos). </w:t>
      </w:r>
      <w:r w:rsidR="008038EF">
        <w:rPr>
          <w:rFonts w:asciiTheme="minorHAnsi" w:hAnsiTheme="minorHAnsi"/>
        </w:rPr>
        <w:t>L</w:t>
      </w:r>
      <w:r>
        <w:rPr>
          <w:rFonts w:asciiTheme="minorHAnsi" w:hAnsiTheme="minorHAnsi"/>
        </w:rPr>
        <w:t xml:space="preserve">a </w:t>
      </w:r>
      <w:r w:rsidR="008038EF">
        <w:rPr>
          <w:rFonts w:asciiTheme="minorHAnsi" w:hAnsiTheme="minorHAnsi"/>
        </w:rPr>
        <w:t xml:space="preserve">regresión </w:t>
      </w:r>
      <w:r>
        <w:rPr>
          <w:rFonts w:asciiTheme="minorHAnsi" w:hAnsiTheme="minorHAnsi"/>
        </w:rPr>
        <w:t>logística supera al Random Forest: AUC = 0,874 vs. 0,815; AP = 0,764 vs. 0,649 (Fig. 6.8</w:t>
      </w:r>
      <w:r w:rsidR="000541A6">
        <w:rPr>
          <w:rFonts w:asciiTheme="minorHAnsi" w:hAnsiTheme="minorHAnsi"/>
        </w:rPr>
        <w:t>, Tabla 6.8</w:t>
      </w:r>
      <w:r>
        <w:rPr>
          <w:rFonts w:asciiTheme="minorHAnsi" w:hAnsiTheme="minorHAnsi"/>
        </w:rPr>
        <w:t xml:space="preserve">), sugiriendo separación aproximadamente lineal una vez transformadas las señales en dimensiones PAC. Las features dominantes son fracciones de estados M (69,4 %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sidRPr="000541A6">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sidRPr="000541A6">
        <w:rPr>
          <w:rFonts w:asciiTheme="minorHAnsi" w:hAnsiTheme="minorHAnsi"/>
          <w:i/>
          <w:iCs/>
          <w:color w:val="747474" w:themeColor="background2" w:themeShade="80"/>
          <w:sz w:val="18"/>
          <w:szCs w:val="18"/>
        </w:rPr>
        <w:t xml:space="preserve">Nota. Logística: AUC = 0,874, AP = 0,764. Random Forest: AUC = 0,815, AP = 0,649. Baseline AP = 0,320 (prevalencia). n = 540 noches, 8 pacientes. </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score muestra gradiente monótono: medianas de 29,2 (Normal), 29,4 (Leve), 72,9 (Moderado) y 81,0 (Severo). La proximidad Normal/Leve refleja el solapamiento de sus perfiles dinámicos en la cohorte (Fig. 6.9).</w:t>
      </w:r>
    </w:p>
    <w:p w14:paraId="29A79201" w14:textId="77777777" w:rsidR="00903C9F" w:rsidRPr="00903C9F" w:rsidRDefault="00903C9F" w:rsidP="00903C9F">
      <w:pPr>
        <w:spacing w:before="300" w:after="60"/>
        <w:rPr>
          <w:rFonts w:asciiTheme="minorHAnsi" w:hAnsiTheme="minorHAnsi"/>
          <w:b/>
          <w:bCs/>
          <w:sz w:val="20"/>
          <w:szCs w:val="20"/>
        </w:rPr>
      </w:pPr>
      <w:r w:rsidRPr="00903C9F">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sidRPr="00903C9F">
        <w:rPr>
          <w:rFonts w:asciiTheme="minorHAnsi" w:hAnsiTheme="minorHAnsi"/>
          <w:i/>
          <w:iCs/>
          <w:color w:val="747474" w:themeColor="background2" w:themeShade="80"/>
          <w:sz w:val="18"/>
          <w:szCs w:val="18"/>
        </w:rPr>
        <w:t xml:space="preserve">Nota. Medianas: 29,2 (Normal) / 29,4 (Leve) / 72,9 (Moderado) / 81,0 (Severo). Umbral 60: captura 100 % Severas, 77,6 % Moderadas, 9,4 %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umbral de 60 puntos captura el 100 % de las noches Severas y el 77,6 % de las Moderadas con 9,4 %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w:t>
      </w:r>
    </w:p>
    <w:p w14:paraId="4BA6A123" w14:textId="119C1B64"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