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Los resultados sugieren una asociación consistente entre morfotipos y estados PAC en las tres escalas, que decrece al ampliar la ventana temporal: V de Cramér = 0,355 (S), 0,229 (M) y 0,194 (L) sobre 83.892 eventos. El riesgo relativo (</w:t>
      </w:r>
      <w:r>
        <w:rPr>
          <w:rFonts w:asciiTheme="minorHAnsi" w:hAnsiTheme="minorHAnsi"/>
          <w:b/>
          <w:bCs/>
        </w:rPr>
        <w:t>RR</w:t>
      </w:r>
      <w:r>
        <w:rPr>
          <w:rFonts w:asciiTheme="minorHAnsi" w:hAnsiTheme="minorHAnsi"/>
        </w:rPr>
        <w:t>) de evento severo (prevalencia base 5,97 %) alcanza hasta 4,7×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en forma binaria entre Normal+Leve y  Moderado+Severo sobre 540 noches (32,0 %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Logística: AUC = 0,905, AP = 0,834. Random Forest: AUC = 0,777, AP = 0,633. Baseline AP = 0,348 (prevalencia). n = 540 noches, 8 pacientes. AUC global calculado sobre el pool de folds LOPO-CV con ambas clases presentes (4 de 8 pacientes); los 4 folds restantes producen AUC indefinido por ausencia de una clase.</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