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CAPÍTULO 6</w:t>
      </w:r>
    </w:p>
    <w:p>
      <w:pPr>
        <w:spacing w:after="80"/>
        <w:jc w:val="center"/>
      </w:pPr>
      <w:r>
        <w:rPr>
          <w:rFonts w:ascii="Times New Roman" w:cs="Times New Roman" w:eastAsia="Times New Roman" w:hAnsi="Times New Roman"/>
          <w:b/>
          <w:bCs/>
          <w:sz w:val="32"/>
          <w:szCs w:val="32"/>
        </w:rPr>
        <w:t xml:space="preserve">Modelado Predictivo Basado en PAC: Acoplamiento, Severidad y Riesgo Fisiológico Nocturno</w:t>
      </w:r>
    </w:p>
    <w:p>
      <w:pPr>
        <w:spacing w:after="400"/>
        <w:jc w:val="center"/>
      </w:pPr>
      <w:r>
        <w:rPr>
          <w:rFonts w:ascii="Times New Roman" w:cs="Times New Roman" w:eastAsia="Times New Roman" w:hAnsi="Times New Roman"/>
          <w:i/>
          <w:iCs/>
          <w:color w:val="666666"/>
          <w:sz w:val="24"/>
          <w:szCs w:val="24"/>
        </w:rPr>
        <w:t xml:space="preserve">Versión 4  ·  Junio 2026</w:t>
      </w:r>
    </w:p>
    <w:p>
      <w:pPr>
        <w:pStyle w:val="Heading2"/>
        <w:spacing w:after="120" w:before="300"/>
      </w:pPr>
      <w:r>
        <w:rPr>
          <w:rFonts w:ascii="Times New Roman" w:cs="Times New Roman" w:eastAsia="Times New Roman" w:hAnsi="Times New Roman"/>
          <w:b/>
          <w:bCs/>
          <w:sz w:val="26"/>
          <w:szCs w:val="26"/>
        </w:rPr>
        <w:t xml:space="preserve">6.1  Contexto, corpus y diseño analítico</w:t>
      </w:r>
    </w:p>
    <w:p>
      <w:pPr>
        <w:spacing w:after="200" w:before="0" w:line="360" w:lineRule="auto"/>
        <w:jc w:val="both"/>
      </w:pPr>
      <w:r>
        <w:rPr>
          <w:rFonts w:ascii="Times New Roman" w:cs="Times New Roman" w:eastAsia="Times New Roman" w:hAnsi="Times New Roman"/>
          <w:sz w:val="24"/>
          <w:szCs w:val="24"/>
        </w:rPr>
        <w:t xml:space="preserve">Este capítulo construye, sobre las representaciones PAC desarrolladas en Cap04 y Cap05, el arco predictivo del proyecto: desde la cuantificación del acoplamiento entre morfotipos y estados dinámicos hasta la integración de los modelos en el Risk Score PAC (0–100), un índice de caracterización dinámica retrospectiva que condensa la arquitectura fisiológica de una noche en un único valor interpretable. El análisis se organiza en tres bloques: acoplamiento y dinámica nocturna (§6.2–6.5), modelos predictivos validados por LOPO-CV (§6.6–6.8), y síntesis en el Risk Score PAC (§6.9). La Tabla 6.1 sintetiza el diseño analítico.</w:t>
      </w:r>
    </w:p>
    <w:p>
      <w:pPr>
        <w:spacing w:after="60" w:before="200"/>
      </w:pPr>
      <w:r>
        <w:rPr>
          <w:rFonts w:ascii="Times New Roman" w:cs="Times New Roman" w:eastAsia="Times New Roman" w:hAnsi="Times New Roman"/>
          <w:b/>
          <w:bCs/>
          <w:sz w:val="20"/>
          <w:szCs w:val="20"/>
        </w:rPr>
        <w:t xml:space="preserve">Tabla 6.1. Resumen del diseño predictivo del Capítulo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1700"/>
        <w:gridCol w:w="160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Nivel</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Tarea predictiva</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NB</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Modelo</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Cohorte</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Evento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Clasificación evento severo C4/C5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NB07-B</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LightGBM vs. LR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 pac., 76.053 ev.</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Noche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Clasificación binaria Normal+Leve vs. Mod.+Sev.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NB07-C</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LR vs. RF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 pac., 540 noches</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Noche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Clasificación multiclase AASM — ablación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NB06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Random Forest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 pac., 540 noches</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Integración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Risk Score nocturno 0–100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NB07-D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Combinación pond.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Cohorte estricta</w:t>
            </w:r>
          </w:p>
        </w:tc>
      </w:tr>
    </w:tbl>
    <w:p>
      <w:pPr>
        <w:spacing w:after="100" w:before="0" w:line="300" w:lineRule="auto"/>
        <w:jc w:val="both"/>
      </w:pPr>
      <w:r>
        <w:rPr>
          <w:rFonts w:ascii="Times New Roman" w:cs="Times New Roman" w:eastAsia="Times New Roman" w:hAnsi="Times New Roman"/>
          <w:i/>
          <w:iCs/>
          <w:sz w:val="20"/>
          <w:szCs w:val="20"/>
        </w:rPr>
        <w:t xml:space="preserve">Nota. LOPO-CV: leave-one-patient-out cross-validation; n efectivo = 8 pacientes. NB05 opera sobre la cohorte completa (12 pac., 83.892 eventos). Los modelos predictivos operan sobre la cohorte estricta (8 pac., 540 noches).</w:t>
      </w:r>
    </w:p>
    <w:p>
      <w:pPr>
        <w:pStyle w:val="Heading2"/>
        <w:spacing w:after="120" w:before="300"/>
      </w:pPr>
      <w:r>
        <w:rPr>
          <w:rFonts w:ascii="Times New Roman" w:cs="Times New Roman" w:eastAsia="Times New Roman" w:hAnsi="Times New Roman"/>
          <w:b/>
          <w:bCs/>
          <w:sz w:val="26"/>
          <w:szCs w:val="26"/>
        </w:rPr>
        <w:t xml:space="preserve">6.2  Acoplamiento morfotipo–estado PAC — NB05</w:t>
      </w:r>
    </w:p>
    <w:p>
      <w:pPr>
        <w:spacing w:after="200" w:before="0" w:line="360" w:lineRule="auto"/>
        <w:jc w:val="both"/>
      </w:pPr>
      <w:r>
        <w:rPr>
          <w:rFonts w:ascii="Times New Roman" w:cs="Times New Roman" w:eastAsia="Times New Roman" w:hAnsi="Times New Roman"/>
          <w:sz w:val="24"/>
          <w:szCs w:val="24"/>
        </w:rPr>
        <w:t xml:space="preserve">NB05 cruza la distribución de morfotipos (C1–C5) con los estados PAC simultáneos en las tres escalas, cuantificando la asociación mediante V de Cramér sobre P(morfotipo | estado). Los resultados confirman que la asociación es real en las tres escalas y decrece sistemáticamente al ampliar la ventana temporal: V = 0,355 (S), V = 0,229 (M) y V = 0,194 (L), sobre 83.892 eventos. Las letras del vocabulario nocturno llevan carga fisiológica —no son etiquetas arbitrarias—, pero esa carga disminuye al pasar de microdinámica a arquitectura global. El riesgo relativo (RR) de evento severo cuantifica la magnitud de esta asociación: con una probabilidad marginal de 5,97 %, determinados estados la multiplican de forma considerable (Tabla 6.2).</w:t>
      </w:r>
    </w:p>
    <w:p>
      <w:pPr>
        <w:spacing w:after="60" w:before="200"/>
      </w:pPr>
      <w:r>
        <w:rPr>
          <w:rFonts w:ascii="Times New Roman" w:cs="Times New Roman" w:eastAsia="Times New Roman" w:hAnsi="Times New Roman"/>
          <w:b/>
          <w:bCs/>
          <w:sz w:val="20"/>
          <w:szCs w:val="20"/>
        </w:rPr>
        <w:t xml:space="preserve">Tabla 6.2. Riesgo relativo de evento severo según estado PAC patológico (NB05, 83.892 eventos).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900"/>
        <w:gridCol w:w="2000"/>
        <w:gridCol w:w="180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Escala</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Estado de mayor riesgo</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P(severo) marginal</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P(severo | estado)</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RR</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 (30 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S6</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5,97 %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28,1 %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4,70×</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 (5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5,97 %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19,6 %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3,29×</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 (30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5,97 %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11,8 %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1,98×</w:t>
            </w:r>
          </w:p>
        </w:tc>
      </w:tr>
    </w:tbl>
    <w:p>
      <w:pPr>
        <w:spacing w:after="100" w:before="0" w:line="300" w:lineRule="auto"/>
        <w:jc w:val="both"/>
      </w:pPr>
      <w:r>
        <w:rPr>
          <w:rFonts w:ascii="Times New Roman" w:cs="Times New Roman" w:eastAsia="Times New Roman" w:hAnsi="Times New Roman"/>
          <w:i/>
          <w:iCs/>
          <w:sz w:val="20"/>
          <w:szCs w:val="20"/>
        </w:rPr>
        <w:t xml:space="preserve">Nota. RR = P(severo | estado) / P(severo) marginal. P(severo) marginal = 5,97 % (5.011 eventos C4+C5 / 83.892 totales).</w:t>
      </w:r>
    </w:p>
    <w:p>
      <w:pPr>
        <w:spacing w:after="160" w:before="80"/>
      </w:pPr>
      <w:r>
        <w:rPr>
          <w:rFonts w:ascii="Times New Roman" w:cs="Times New Roman" w:eastAsia="Times New Roman" w:hAnsi="Times New Roman"/>
          <w:i/>
          <w:iCs/>
          <w:color w:val="555555"/>
          <w:sz w:val="20"/>
          <w:szCs w:val="20"/>
        </w:rPr>
        <w:t xml:space="preserve">▸ Figuras complementarias en Anexo: Fig. 6.1 (distribución condicional P(morfotipo|estado)), Fig. 6.2 (riesgo relativo por estado).</w:t>
      </w:r>
    </w:p>
    <w:p>
      <w:pPr>
        <w:pStyle w:val="Heading2"/>
        <w:spacing w:after="120" w:before="300"/>
      </w:pPr>
      <w:r>
        <w:rPr>
          <w:rFonts w:ascii="Times New Roman" w:cs="Times New Roman" w:eastAsia="Times New Roman" w:hAnsi="Times New Roman"/>
          <w:b/>
          <w:bCs/>
          <w:sz w:val="26"/>
          <w:szCs w:val="26"/>
        </w:rPr>
        <w:t xml:space="preserve">6.3  Coupling Index — NB05</w:t>
      </w:r>
    </w:p>
    <w:p>
      <w:pPr>
        <w:spacing w:after="200" w:before="0" w:line="360" w:lineRule="auto"/>
        <w:jc w:val="both"/>
      </w:pPr>
      <w:r>
        <w:rPr>
          <w:rFonts w:ascii="Times New Roman" w:cs="Times New Roman" w:eastAsia="Times New Roman" w:hAnsi="Times New Roman"/>
          <w:sz w:val="24"/>
          <w:szCs w:val="24"/>
        </w:rPr>
        <w:t xml:space="preserve">El coupling index (CI) es la fracción de eventos severos de cada noche que ocurrió dentro de un estado patológico, calculado en las tres escalas (ci_s, ci_m, ci_l). A diferencia de la fracción de eventos severos —que solo cuenta cuántos ocurrieron—, el CI pregunta en qué contexto dinámico ocurrieron. El hallazgo más relevante es la independencia casi total entre las escalas S y M (r = 0,066), lo que indica que el acoplamiento en microdinámica y en regulación intermedia son fenómenos no redundantes; ci_m y ci_l muestran una correlación moderada (r = 0,291). Esta independencia justifica el uso combinado de ambas métricas en los modelos predictivos sin riesgo de multicolinealidad entre escalas.</w:t>
      </w:r>
    </w:p>
    <w:p>
      <w:pPr>
        <w:spacing w:after="60" w:before="200"/>
      </w:pPr>
      <w:r>
        <w:rPr>
          <w:rFonts w:ascii="Times New Roman" w:cs="Times New Roman" w:eastAsia="Times New Roman" w:hAnsi="Times New Roman"/>
          <w:b/>
          <w:bCs/>
          <w:sz w:val="20"/>
          <w:szCs w:val="20"/>
        </w:rPr>
        <w:t xml:space="preserve">Tabla 6.3. Definición operativa del Coupling Index por escala temporal.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2100"/>
        <w:gridCol w:w="250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Escala</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Ventana</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Estados patológicos</w:t>
            </w:r>
          </w:p>
        </w:tc>
        <w:tc>
          <w:tcPr>
            <w:tcW w:type="dxa" w:w="2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Correlación cruzada</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Interpretación fisiológica</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 (30 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30 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S2, S4, S6</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Acoplamiento en microdinámica evento a evento</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 (5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M1, M3</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r(ci_s, ci_m) = 0,066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Acoplamiento en regulación intermedia</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 (30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L0, L1</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r(ci_m, ci_l) = 0,291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Acoplamiento en arquitectura nocturna global</w:t>
            </w:r>
          </w:p>
        </w:tc>
      </w:tr>
    </w:tbl>
    <w:p>
      <w:pPr>
        <w:spacing w:after="100" w:before="0" w:line="300" w:lineRule="auto"/>
        <w:jc w:val="both"/>
      </w:pPr>
      <w:r>
        <w:rPr>
          <w:rFonts w:ascii="Times New Roman" w:cs="Times New Roman" w:eastAsia="Times New Roman" w:hAnsi="Times New Roman"/>
          <w:i/>
          <w:iCs/>
          <w:sz w:val="20"/>
          <w:szCs w:val="20"/>
        </w:rPr>
        <w:t xml:space="preserve">Nota. Estados patológicos definidos como los estados cuya tasa de eventos C4+C5 supera la mediana del corpus. Origen: NB05, Sección 3.</w:t>
      </w:r>
    </w:p>
    <w:p>
      <w:pPr>
        <w:spacing w:after="160" w:before="80"/>
      </w:pPr>
      <w:r>
        <w:rPr>
          <w:rFonts w:ascii="Times New Roman" w:cs="Times New Roman" w:eastAsia="Times New Roman" w:hAnsi="Times New Roman"/>
          <w:i/>
          <w:iCs/>
          <w:color w:val="555555"/>
          <w:sz w:val="20"/>
          <w:szCs w:val="20"/>
        </w:rPr>
        <w:t xml:space="preserve">▸ Figuras complementarias en Anexo: Fig. 6.3 (coupling index por escala), Fig. 6.4c (dos noches con ODI3 idéntico y CI opuesto).</w:t>
      </w:r>
    </w:p>
    <w:p>
      <w:pPr>
        <w:pStyle w:val="Heading2"/>
        <w:spacing w:after="120" w:before="300"/>
      </w:pPr>
      <w:r>
        <w:rPr>
          <w:rFonts w:ascii="Times New Roman" w:cs="Times New Roman" w:eastAsia="Times New Roman" w:hAnsi="Times New Roman"/>
          <w:b/>
          <w:bCs/>
          <w:sz w:val="26"/>
          <w:szCs w:val="26"/>
        </w:rPr>
        <w:t xml:space="preserve">6.4  Resiliencia fisiológica y dinámica Markoviana — NB05</w:t>
      </w:r>
    </w:p>
    <w:p>
      <w:pPr>
        <w:spacing w:after="200" w:before="0" w:line="360" w:lineRule="auto"/>
        <w:jc w:val="both"/>
      </w:pPr>
      <w:r>
        <w:rPr>
          <w:rFonts w:ascii="Times New Roman" w:cs="Times New Roman" w:eastAsia="Times New Roman" w:hAnsi="Times New Roman"/>
          <w:sz w:val="24"/>
          <w:szCs w:val="24"/>
        </w:rPr>
        <w:t xml:space="preserve">El análisis de la dinámica temporal posterior a eventos severos revela un gradiente de resiliencia marcadamente decreciente con la escala temporal (Tabla 6.4). A escala S el 43,3 % de los eventos severos en estados patológicos fue seguido de recuperación al estado protector; a escala M ese porcentaje cae al 12,3 %; y a escala L la resiliencia es prácticamente inexistente (1,3 %). Una vez que el sistema fisiológico ingresa en un régimen de alta carga hipóxica sostenida, la recuperación espontánea a escala de la arquitectura nocturna global es excepcional en esta cohorte. Este colapso es explicado por la dinámica Markoviana de la escala M: el corredor de vulnerabilidad M3→M1 conduce sistemáticamente al estado de mayor riesgo (RR = 3,29), y M1 presenta la probabilidad de autotransición más alta del sistema —su inercia es el principal correlato estructural de la persistencia patológica.</w:t>
      </w:r>
    </w:p>
    <w:p>
      <w:pPr>
        <w:spacing w:after="60" w:before="200"/>
      </w:pPr>
      <w:r>
        <w:rPr>
          <w:rFonts w:ascii="Times New Roman" w:cs="Times New Roman" w:eastAsia="Times New Roman" w:hAnsi="Times New Roman"/>
          <w:b/>
          <w:bCs/>
          <w:sz w:val="20"/>
          <w:szCs w:val="20"/>
        </w:rPr>
        <w:t xml:space="preserve">Tabla 6.4. Resiliencia fisiológica posterior a eventos severos en estados patológicos.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000"/>
        <w:gridCol w:w="300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Escala</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Ventana</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Resiliente (retorno a estado protector)</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Colapsado (persiste en estado patológico)</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 (30 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30 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43,3 %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40,2 %</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 (5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min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12,3 %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80,4 %</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 (30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30 min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74,5 %</w:t>
            </w:r>
          </w:p>
        </w:tc>
      </w:tr>
    </w:tbl>
    <w:p>
      <w:pPr>
        <w:spacing w:after="100" w:before="0" w:line="300" w:lineRule="auto"/>
        <w:jc w:val="both"/>
      </w:pPr>
      <w:r>
        <w:rPr>
          <w:rFonts w:ascii="Times New Roman" w:cs="Times New Roman" w:eastAsia="Times New Roman" w:hAnsi="Times New Roman"/>
          <w:i/>
          <w:iCs/>
          <w:sz w:val="20"/>
          <w:szCs w:val="20"/>
        </w:rPr>
        <w:t xml:space="preserve">Nota. Resiliente = siguiente ventana en estado protector. Colapsado = siguiente ventana en estado patológico. Diferencia al 100 %: estados intermedios o último evento de la noche. Origen: NB05, Sección 4.</w:t>
      </w:r>
    </w:p>
    <w:p>
      <w:pPr>
        <w:spacing w:after="160" w:before="80"/>
      </w:pPr>
      <w:r>
        <w:rPr>
          <w:rFonts w:ascii="Times New Roman" w:cs="Times New Roman" w:eastAsia="Times New Roman" w:hAnsi="Times New Roman"/>
          <w:i/>
          <w:iCs/>
          <w:color w:val="555555"/>
          <w:sz w:val="20"/>
          <w:szCs w:val="20"/>
        </w:rPr>
        <w:t xml:space="preserve">▸ Figura complementaria en Anexo: Fig. 6.5 (matrices de transición Markovianas por escala).</w:t>
      </w:r>
    </w:p>
    <w:p>
      <w:pPr>
        <w:pStyle w:val="Heading2"/>
        <w:spacing w:after="120" w:before="300"/>
      </w:pPr>
      <w:r>
        <w:rPr>
          <w:rFonts w:ascii="Times New Roman" w:cs="Times New Roman" w:eastAsia="Times New Roman" w:hAnsi="Times New Roman"/>
          <w:b/>
          <w:bCs/>
          <w:sz w:val="26"/>
          <w:szCs w:val="26"/>
        </w:rPr>
        <w:t xml:space="preserve">6.5  Fenotipos dinámicos nocturnos — NB05</w:t>
      </w:r>
    </w:p>
    <w:p>
      <w:pPr>
        <w:spacing w:after="200" w:before="0" w:line="360" w:lineRule="auto"/>
        <w:jc w:val="both"/>
      </w:pPr>
      <w:r>
        <w:rPr>
          <w:rFonts w:ascii="Times New Roman" w:cs="Times New Roman" w:eastAsia="Times New Roman" w:hAnsi="Times New Roman"/>
          <w:sz w:val="24"/>
          <w:szCs w:val="24"/>
        </w:rPr>
        <w:t xml:space="preserve">K-means (K = 3) sobre un vector de 7 features multiescala identificó tres fenotipos de trayectoria nocturna (Tabla 6.5). El hallazgo clave es que el fenotipo Carga Hipóxica Alta (CHA) —dominado por el estado M1 (78,1 %) con ARI mediano de apenas 0,284— aparece exclusivamente en pacientes con severidad AASM Moderada, evidenciando discordancia entre índice de frecuencia y fenotipo dinámico. Un paciente AASM Moderado con fenotipo CHA presenta un perfil de riesgo nocturno cualitativamente diferente al de otro con el mismo ODI3 pero fenotipo Estable-Protector: la carga hipóxica reside en la dominancia sostenida del estado M1, un matiz que el conteo de eventos no captura. Nótese también que el ARI es prácticamente invariante entre fenotipos (diferencia máxima &lt; 0,25 entre extremos), confirmando su independencia respecto a la arquitectura de severidad dinámica.</w:t>
      </w:r>
    </w:p>
    <w:p>
      <w:pPr>
        <w:spacing w:after="60" w:before="200"/>
      </w:pPr>
      <w:r>
        <w:rPr>
          <w:rFonts w:ascii="Times New Roman" w:cs="Times New Roman" w:eastAsia="Times New Roman" w:hAnsi="Times New Roman"/>
          <w:b/>
          <w:bCs/>
          <w:sz w:val="20"/>
          <w:szCs w:val="20"/>
        </w:rPr>
        <w:t xml:space="preserve">Tabla 6.5. Fenotipos dinámicos nocturnos identificados por PAC (K = 3, NB05, 511 noches, 8 pacientes).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500"/>
        <w:gridCol w:w="1300"/>
        <w:gridCol w:w="1000"/>
        <w:gridCol w:w="10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Fenotipo</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Frac. M1</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Frac. M3</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 ev. severos</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ARI mediano</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Trans. M</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Entropía M</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Estable-Protector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2,5 %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12,0 %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3,1 %</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0,524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1,519</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Carga Intermedia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3,4 %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22,7 %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5,3 %</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0,492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1,933</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Carga Hipóxica Alta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78,1 %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3,1 %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37,9 %</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0,284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1,122</w:t>
            </w:r>
          </w:p>
        </w:tc>
      </w:tr>
    </w:tbl>
    <w:p>
      <w:pPr>
        <w:spacing w:after="100" w:before="0" w:line="300" w:lineRule="auto"/>
        <w:jc w:val="both"/>
      </w:pPr>
      <w:r>
        <w:rPr>
          <w:rFonts w:ascii="Times New Roman" w:cs="Times New Roman" w:eastAsia="Times New Roman" w:hAnsi="Times New Roman"/>
          <w:i/>
          <w:iCs/>
          <w:sz w:val="20"/>
          <w:szCs w:val="20"/>
        </w:rPr>
        <w:t xml:space="preserve">Nota. K-means sobre PCA de 7 features nocturnas. Origen: NB05, Sección 6.</w:t>
      </w:r>
    </w:p>
    <w:p>
      <w:pPr>
        <w:pStyle w:val="Heading2"/>
        <w:spacing w:after="120" w:before="300"/>
      </w:pPr>
      <w:r>
        <w:rPr>
          <w:rFonts w:ascii="Times New Roman" w:cs="Times New Roman" w:eastAsia="Times New Roman" w:hAnsi="Times New Roman"/>
          <w:b/>
          <w:bCs/>
          <w:sz w:val="26"/>
          <w:szCs w:val="26"/>
        </w:rPr>
        <w:t xml:space="preserve">6.6  Importancia predictiva de las features PAC: ablación LOPO-CV — NB06</w:t>
      </w:r>
    </w:p>
    <w:p>
      <w:pPr>
        <w:spacing w:after="200" w:before="0" w:line="360" w:lineRule="auto"/>
        <w:jc w:val="both"/>
      </w:pPr>
      <w:r>
        <w:rPr>
          <w:rFonts w:ascii="Times New Roman" w:cs="Times New Roman" w:eastAsia="Times New Roman" w:hAnsi="Times New Roman"/>
          <w:sz w:val="24"/>
          <w:szCs w:val="24"/>
        </w:rPr>
        <w:t xml:space="preserve">NB06 cuantifica la contribución predictiva de cada grupo de variables mediante ablación LOPO-CV, con un Random Forest aplicado a la clasificación multiclase de cuatro categorías AASM sobre 540 noches. Los PAC States concentran el 44,8 % de la importancia Gini total, seguidos por los morfotipos (20,6 %) y la dinámica PAC (14,7 %). El modelo PAC only (PAC States + PAC Dynamics) alcanza una balanced accuracy de 0,521 ± 0,218, superando al modelo Clínico only (0,354 ± 0,294) y confirmando el valor predictivo autónomo de las representaciones PAC. El modelo ARI only obtiene la balanced accuracy más baja (0,281 ± 0,150), coherente con su ortogonalidad respecto a la severidad (ρ = 0,034): el ARI mide una dimensión fisiológica distinta de la categoría AASM, no un predictor lineal de ella.</w:t>
      </w:r>
    </w:p>
    <w:p>
      <w:pPr>
        <w:spacing w:after="60" w:before="200"/>
      </w:pPr>
      <w:r>
        <w:rPr>
          <w:rFonts w:ascii="Times New Roman" w:cs="Times New Roman" w:eastAsia="Times New Roman" w:hAnsi="Times New Roman"/>
          <w:b/>
          <w:bCs/>
          <w:sz w:val="20"/>
          <w:szCs w:val="20"/>
        </w:rPr>
        <w:t xml:space="preserve">Tabla 6.6. Importancia relativa de grupos de features — Random Forest, ablación LOPO-CV (NB06).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5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Grupo de features</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 variables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Importancia (Gini)</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 sobre total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PAC States (S/M/L)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0,4475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44,8 %</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Morfotipos C1–C5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0,2019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20,6 %</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PAC Dynamics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0,1466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14,7 %</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Variables clínicas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0,1023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10,2 %</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Sueño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0,0680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6,8 %</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ARI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0,0337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3,4 %</w:t>
            </w:r>
          </w:p>
        </w:tc>
      </w:tr>
    </w:tbl>
    <w:p>
      <w:pPr>
        <w:spacing w:after="100" w:before="0" w:line="300" w:lineRule="auto"/>
        <w:jc w:val="both"/>
      </w:pPr>
      <w:r>
        <w:rPr>
          <w:rFonts w:ascii="Times New Roman" w:cs="Times New Roman" w:eastAsia="Times New Roman" w:hAnsi="Times New Roman"/>
          <w:i/>
          <w:iCs/>
          <w:sz w:val="20"/>
          <w:szCs w:val="20"/>
        </w:rPr>
        <w:t xml:space="preserve">Nota. Importancia Gini promediada sobre 8 folds LOPO-CV. 540 noches, 8 pacientes.</w:t>
      </w:r>
    </w:p>
    <w:p>
      <w:pPr>
        <w:pStyle w:val="Heading2"/>
        <w:spacing w:after="120" w:before="300"/>
      </w:pPr>
      <w:r>
        <w:rPr>
          <w:rFonts w:ascii="Times New Roman" w:cs="Times New Roman" w:eastAsia="Times New Roman" w:hAnsi="Times New Roman"/>
          <w:b/>
          <w:bCs/>
          <w:sz w:val="26"/>
          <w:szCs w:val="26"/>
        </w:rPr>
        <w:t xml:space="preserve">6.7  Modelo predictivo a nivel de evento — NB07 Bloque B</w:t>
      </w:r>
    </w:p>
    <w:p>
      <w:pPr>
        <w:spacing w:after="200" w:before="0" w:line="360" w:lineRule="auto"/>
        <w:jc w:val="both"/>
      </w:pPr>
      <w:r>
        <w:rPr>
          <w:rFonts w:ascii="Times New Roman" w:cs="Times New Roman" w:eastAsia="Times New Roman" w:hAnsi="Times New Roman"/>
          <w:sz w:val="24"/>
          <w:szCs w:val="24"/>
        </w:rPr>
        <w:t xml:space="preserve">El primer módulo de NB07 estima la probabilidad de que un EDO individual sea morfológicamente severo (C4 o C5), con features causales acumuladas de los eventos previos y del estado PAC activo (lead time ≈ escala M). Sobre 76.053 eventos (prevalencia de clase positiva: 5,57 %), el LightGBM mejoró sustancialmente sobre la regresión logística basal: AUC = 0,878 vs. 0,743; AP = 0,240 vs. 0,164 (Tabla 6.7). El rango de AUC entre folds (0,798–0,964) indica consistencia entre pacientes. Las features más predictivas son los contextos acumulados: event_position (posición en la noche), recent_morph_mean (morfotipos recientes), ci_so_far (acoplamiento acumulado) y state_s_enc (estado S activo): el riesgo de un evento severo se lee como acumulación progresiva de deterioro dentro de la noche, y un cluster denso de probabilidades altas en morfotipos leves es la firma predictiva de un episodio hipóxico prolongado fragmentado por el algoritmo de detección.</w:t>
      </w:r>
    </w:p>
    <w:p>
      <w:pPr>
        <w:spacing w:after="60" w:before="200"/>
      </w:pPr>
      <w:r>
        <w:rPr>
          <w:rFonts w:ascii="Times New Roman" w:cs="Times New Roman" w:eastAsia="Times New Roman" w:hAnsi="Times New Roman"/>
          <w:b/>
          <w:bCs/>
          <w:sz w:val="20"/>
          <w:szCs w:val="20"/>
        </w:rPr>
        <w:t xml:space="preserve">Tabla 6.7. Rendimiento del modelo predictivo de evento severo — LOPO-CV (NB07 Bloque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300"/>
        <w:gridCol w:w="1300"/>
        <w:gridCol w:w="130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Modelo</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AUC LOPO</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AP LOPO</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Sensibilidad</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Especificidad</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Mejora AP</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Regresión logística (basal)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0,743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0,164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0,716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0,660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2,9×</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LightGBM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0,878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0,240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4,3×</w:t>
            </w:r>
          </w:p>
        </w:tc>
      </w:tr>
    </w:tbl>
    <w:p>
      <w:pPr>
        <w:spacing w:after="100" w:before="0" w:line="300" w:lineRule="auto"/>
        <w:jc w:val="both"/>
      </w:pPr>
      <w:r>
        <w:rPr>
          <w:rFonts w:ascii="Times New Roman" w:cs="Times New Roman" w:eastAsia="Times New Roman" w:hAnsi="Times New Roman"/>
          <w:i/>
          <w:iCs/>
          <w:sz w:val="20"/>
          <w:szCs w:val="20"/>
        </w:rPr>
        <w:t xml:space="preserve">Nota. Clase positiva = C4 o C5 (5,57 %). Baseline AP = 5,56 % (prevalencia). Rango AUC por fold (LightGBM): 0,798–0,964.</w:t>
      </w:r>
    </w:p>
    <w:p>
      <w:pPr>
        <w:spacing w:after="160" w:before="80"/>
      </w:pPr>
      <w:r>
        <w:rPr>
          <w:rFonts w:ascii="Times New Roman" w:cs="Times New Roman" w:eastAsia="Times New Roman" w:hAnsi="Times New Roman"/>
          <w:i/>
          <w:iCs/>
          <w:color w:val="555555"/>
          <w:sz w:val="20"/>
          <w:szCs w:val="20"/>
        </w:rPr>
        <w:t xml:space="preserve">▸ Figura complementaria en Anexo: Fig. 6.8 (curvas ROC y Precision-Recall comparativas).</w:t>
      </w:r>
    </w:p>
    <w:p>
      <w:pPr>
        <w:pStyle w:val="Heading2"/>
        <w:spacing w:after="120" w:before="300"/>
      </w:pPr>
      <w:r>
        <w:rPr>
          <w:rFonts w:ascii="Times New Roman" w:cs="Times New Roman" w:eastAsia="Times New Roman" w:hAnsi="Times New Roman"/>
          <w:b/>
          <w:bCs/>
          <w:sz w:val="26"/>
          <w:szCs w:val="26"/>
        </w:rPr>
        <w:t xml:space="preserve">6.8  Modelo predictivo a nivel de noche — NB07 Bloque C</w:t>
      </w:r>
    </w:p>
    <w:p>
      <w:pPr>
        <w:spacing w:after="200" w:before="0" w:line="360" w:lineRule="auto"/>
        <w:jc w:val="both"/>
      </w:pPr>
      <w:r>
        <w:rPr>
          <w:rFonts w:ascii="Times New Roman" w:cs="Times New Roman" w:eastAsia="Times New Roman" w:hAnsi="Times New Roman"/>
          <w:sz w:val="24"/>
          <w:szCs w:val="24"/>
        </w:rPr>
        <w:t xml:space="preserve">El segundo módulo opera con clasificación binaria: Normal+Leve versus Moderado+Severo, sobre 540 noches (prevalencia positiva: 32,0 %). La regresión logística superó al Random Forest: AUC = 0,874 vs. 0,815; AP = 0,764 vs. 0,649 (Tabla 6.8). Esta superioridad sugiere que, una vez transformadas las señales crudas en features PAC, la separación entre noches de bajo y alto riesgo es aproximadamente lineal —la complejidad fisiológica fue capturada en etapas previas del pipeline—. Las features dominantes son las fracciones de tiempo en estados M (M0 + M3 + M1 + M2 explican el 69,4 % de la importancia), y la coherencia entre los coeficientes del modelo y la narrativa fisiológica de los capítulos anteriores constituye un indicador de validez de constructo.</w:t>
      </w:r>
    </w:p>
    <w:p>
      <w:pPr>
        <w:spacing w:after="60" w:before="200"/>
      </w:pPr>
      <w:r>
        <w:rPr>
          <w:rFonts w:ascii="Times New Roman" w:cs="Times New Roman" w:eastAsia="Times New Roman" w:hAnsi="Times New Roman"/>
          <w:b/>
          <w:bCs/>
          <w:sz w:val="20"/>
          <w:szCs w:val="20"/>
        </w:rPr>
        <w:t xml:space="preserve">Tabla 6.8. Rendimiento del modelo predictivo nocturno binario — LOPO-CV (NB07 Bloque 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Modelo</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AUC LOPO</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Average Precision</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Baseline AP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Regresión logística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0,874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0,764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0,320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Random Forest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0,649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0,320</w:t>
            </w:r>
          </w:p>
        </w:tc>
      </w:tr>
    </w:tbl>
    <w:p>
      <w:pPr>
        <w:spacing w:after="100" w:before="0" w:line="300" w:lineRule="auto"/>
        <w:jc w:val="both"/>
      </w:pPr>
      <w:r>
        <w:rPr>
          <w:rFonts w:ascii="Times New Roman" w:cs="Times New Roman" w:eastAsia="Times New Roman" w:hAnsi="Times New Roman"/>
          <w:i/>
          <w:iCs/>
          <w:sz w:val="20"/>
          <w:szCs w:val="20"/>
        </w:rPr>
        <w:t xml:space="preserve">Nota. Clasificación binaria: Normal+Leve vs. Moderado+Severo. n = 540 noches, 8 pacientes.</w:t>
      </w:r>
    </w:p>
    <w:p>
      <w:pPr>
        <w:spacing w:after="160" w:before="80"/>
      </w:pPr>
      <w:r>
        <w:rPr>
          <w:rFonts w:ascii="Times New Roman" w:cs="Times New Roman" w:eastAsia="Times New Roman" w:hAnsi="Times New Roman"/>
          <w:i/>
          <w:iCs/>
          <w:color w:val="555555"/>
          <w:sz w:val="20"/>
          <w:szCs w:val="20"/>
        </w:rPr>
        <w:t xml:space="preserve">▸ Figura complementaria en Anexo: Fig. 6.9 (curvas ROC y Precision-Recall nocturnas).</w:t>
      </w:r>
    </w:p>
    <w:p>
      <w:pPr>
        <w:pStyle w:val="Heading2"/>
        <w:spacing w:after="120" w:before="300"/>
      </w:pPr>
      <w:r>
        <w:rPr>
          <w:rFonts w:ascii="Times New Roman" w:cs="Times New Roman" w:eastAsia="Times New Roman" w:hAnsi="Times New Roman"/>
          <w:b/>
          <w:bCs/>
          <w:sz w:val="26"/>
          <w:szCs w:val="26"/>
        </w:rPr>
        <w:t xml:space="preserve">6.9  Risk Score PAC — NB07 Bloque D</w:t>
      </w:r>
    </w:p>
    <w:p>
      <w:pPr>
        <w:spacing w:after="200" w:before="0" w:line="360" w:lineRule="auto"/>
        <w:jc w:val="both"/>
      </w:pPr>
      <w:r>
        <w:rPr>
          <w:rFonts w:ascii="Times New Roman" w:cs="Times New Roman" w:eastAsia="Times New Roman" w:hAnsi="Times New Roman"/>
          <w:sz w:val="24"/>
          <w:szCs w:val="24"/>
        </w:rPr>
        <w:t xml:space="preserve">El módulo final integra los dos componentes en el Risk Score PAC (escala 0–100): 40 % del score de evento (probabilidad media LightGBM sobre los EDOs de la noche) y 60 % del score de noche (probabilidad regresión logística). El componente nocturno recibe mayor peso por su naturaleza global y su menor sensibilidad al ruido de señal en ventanas individuales (Tabla 6.9). La asignación 40/60 es una decisión heurística no sometida a análisis de sensibilidad formal; variaciones en el rango 30/70–50/50 producirían gradientes AASM igualmente claros con distintos umbrales de corte.</w:t>
      </w:r>
    </w:p>
    <w:p>
      <w:pPr>
        <w:spacing w:after="60" w:before="200"/>
      </w:pPr>
      <w:r>
        <w:rPr>
          <w:rFonts w:ascii="Times New Roman" w:cs="Times New Roman" w:eastAsia="Times New Roman" w:hAnsi="Times New Roman"/>
          <w:b/>
          <w:bCs/>
          <w:sz w:val="20"/>
          <w:szCs w:val="20"/>
        </w:rPr>
        <w:t xml:space="preserve">Tabla 6.9. Composición del Risk Score PAC (escala 0–100).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00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Componente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Fuente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Peso</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AUC base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Score de evento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NB07 Bloque B — LightGBM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40 %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0,878</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Score de noche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NB07 Bloque C — Regresión logística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60 %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0,874</w:t>
            </w:r>
          </w:p>
        </w:tc>
      </w:tr>
    </w:tbl>
    <w:p>
      <w:pPr>
        <w:spacing w:after="100" w:before="0" w:line="300" w:lineRule="auto"/>
        <w:jc w:val="both"/>
      </w:pPr>
      <w:r>
        <w:rPr>
          <w:rFonts w:ascii="Times New Roman" w:cs="Times New Roman" w:eastAsia="Times New Roman" w:hAnsi="Times New Roman"/>
          <w:i/>
          <w:iCs/>
          <w:sz w:val="20"/>
          <w:szCs w:val="20"/>
        </w:rPr>
        <w:t xml:space="preserve">Nota. Fórmula: Risk Score = (0,40 × p_ev_norm + 0,60 × p_high_risk_night) × 100. Etiquetas: Bajo &lt; 30, Moderado 30–60, Alto &gt; 60. Origen: NB07, Bloque D.</w:t>
      </w:r>
    </w:p>
    <w:p>
      <w:pPr>
        <w:spacing w:after="200" w:before="0" w:line="360" w:lineRule="auto"/>
        <w:jc w:val="both"/>
      </w:pPr>
      <w:r>
        <w:rPr>
          <w:rFonts w:ascii="Times New Roman" w:cs="Times New Roman" w:eastAsia="Times New Roman" w:hAnsi="Times New Roman"/>
          <w:sz w:val="24"/>
          <w:szCs w:val="24"/>
        </w:rPr>
        <w:t xml:space="preserve">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 El Risk Score PAC no es un sistema de monitoreo en tiempo real sino un índice de caracterización dinámica retrospectiva: su valor reside en describir la arquitectura fisiológica de la noche —no solo cuántos eventos ocurrieron sino en qué estados del organismo ocurrieron y qué trayectoria siguió el sistema— con valor para fenotipado post-diagnóstico, seguimiento longitudinal y detección de noches con riesgo oculto.</w:t>
      </w:r>
    </w:p>
    <w:p>
      <w:pPr>
        <w:spacing w:after="160" w:before="80"/>
      </w:pPr>
      <w:r>
        <w:rPr>
          <w:rFonts w:ascii="Times New Roman" w:cs="Times New Roman" w:eastAsia="Times New Roman" w:hAnsi="Times New Roman"/>
          <w:i/>
          <w:iCs/>
          <w:color w:val="555555"/>
          <w:sz w:val="20"/>
          <w:szCs w:val="20"/>
        </w:rPr>
        <w:t xml:space="preserve">▸ Figura complementaria en Anexo: Fig. 6.10 (distribución del Risk Score por categoría AASM, boxplot y distribución proporcional).</w:t>
      </w:r>
    </w:p>
    <w:p>
      <w:pPr>
        <w:pStyle w:val="Heading2"/>
        <w:spacing w:after="120" w:before="300"/>
      </w:pPr>
      <w:r>
        <w:rPr>
          <w:rFonts w:ascii="Times New Roman" w:cs="Times New Roman" w:eastAsia="Times New Roman" w:hAnsi="Times New Roman"/>
          <w:b/>
          <w:bCs/>
          <w:sz w:val="26"/>
          <w:szCs w:val="26"/>
        </w:rPr>
        <w:t xml:space="preserve">6.10  Limitaciones</w:t>
      </w:r>
    </w:p>
    <w:p>
      <w:pPr>
        <w:spacing w:after="200" w:before="0" w:line="360" w:lineRule="auto"/>
        <w:jc w:val="both"/>
      </w:pPr>
      <w:r>
        <w:rPr>
          <w:rFonts w:ascii="Times New Roman" w:cs="Times New Roman" w:eastAsia="Times New Roman" w:hAnsi="Times New Roman"/>
          <w:sz w:val="24"/>
          <w:szCs w:val="24"/>
        </w:rPr>
        <w:t xml:space="preserve">Los resultados deben interpretarse en el contexto de una cohorte reducida. Con n = 8 en la cohorte estricta, el LOPO-CV produce ocho puntos de rendimiento independientes: suficientes para estimar tendencias con magnitud de efecto estimable, no para certificación clínica. La varianza entre folds es considerable (balanced accuracy en NB06: 0,469 ± 0,259; AUC de evento: 0,798–0,964), reflejando heterogeneidad fisiológica real entre pacientes. La asignación de pesos 40/60 del Risk Score es heurística y no fue sometida a validación cruzada anidada. La ausencia de polisomnografía concurrente limita la interpretación de los estadios de sueño estimados y la comparación directa con el AHI.</w:t>
      </w:r>
    </w:p>
    <w:p>
      <w:pPr>
        <w:spacing w:after="200" w:before="0" w:line="360" w:lineRule="auto"/>
        <w:jc w:val="both"/>
      </w:pPr>
      <w:r>
        <w:rPr>
          <w:rFonts w:ascii="Times New Roman" w:cs="Times New Roman" w:eastAsia="Times New Roman" w:hAnsi="Times New Roman"/>
          <w:sz w:val="24"/>
          <w:szCs w:val="24"/>
        </w:rPr>
        <w:t xml:space="preserve">El Risk Score PAC no es una herramienta clínica validada: requeriría calibración externa, evaluación de reproducibilidad, asociación con outcomes clínicos y análisis de utilidad incremental frente a índices establecidos antes de cualquier uso asistencial. Estas validaciones constituyen la línea de trabajo futuro prioritaria del proyecto y se retoman en la discusión del Capítulo 9. La predicción en tiempo real —con lead time explícito y habilitación del estimulador terapéutico— es el objeto del Capítulo 8.</w:t>
      </w:r>
    </w:p>
    <w:p>
      <w:pPr>
        <w:spacing w:before="400"/>
      </w:pPr>
      <w:r>
        <w:rPr>
          <w:rFonts w:ascii="Times New Roman" w:cs="Times New Roman" w:eastAsia="Times New Roman" w:hAnsi="Times New Roman"/>
          <w:i/>
          <w:iCs/>
          <w:color w:val="444444"/>
          <w:sz w:val="24"/>
          <w:szCs w:val="24"/>
        </w:rPr>
        <w:t xml:space="preserve">Continúa en Capítulo 7 — Interfaz Clínica Interactiva: PAC App</w:t>
      </w:r>
    </w:p>
    <w:sectPr>
      <w:pgSz w:w="11906" w:h="16838" w:orient="portrait"/>
      <w:pgMar w:top="1701" w:right="1418"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2026-06-02T18:49:03.148Z</dcterms:created>
  <dcterms:modified xsi:type="dcterms:W3CDTF">2026-06-02T18:49:03.149Z</dcterms:modified>
</cp:coreProperties>
</file>

<file path=docProps/custom.xml><?xml version="1.0" encoding="utf-8"?>
<Properties xmlns="http://schemas.openxmlformats.org/officeDocument/2006/custom-properties" xmlns:vt="http://schemas.openxmlformats.org/officeDocument/2006/docPropsVTypes"/>
</file>