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0A9F" w14:textId="77777777" w:rsidR="00A9687A" w:rsidRPr="00D639C0" w:rsidRDefault="00000000" w:rsidP="00D639C0">
      <w:pPr>
        <w:spacing w:after="80"/>
        <w:rPr>
          <w:color w:val="747474" w:themeColor="background2" w:themeShade="80"/>
          <w:sz w:val="20"/>
          <w:szCs w:val="20"/>
        </w:rPr>
      </w:pPr>
      <w:r w:rsidRPr="00D639C0">
        <w:rPr>
          <w:b/>
          <w:bCs/>
          <w:color w:val="747474" w:themeColor="background2" w:themeShade="80"/>
          <w:sz w:val="20"/>
          <w:szCs w:val="20"/>
        </w:rPr>
        <w:t>CAPÍTULO 6</w:t>
      </w:r>
    </w:p>
    <w:p w14:paraId="6E8F3D64" w14:textId="77777777" w:rsidR="00A9687A" w:rsidRPr="00D639C0" w:rsidRDefault="00000000" w:rsidP="00D639C0">
      <w:pPr>
        <w:spacing w:after="80"/>
        <w:rPr>
          <w:color w:val="002060"/>
          <w:sz w:val="36"/>
          <w:szCs w:val="36"/>
        </w:rPr>
      </w:pPr>
      <w:r w:rsidRPr="00D639C0">
        <w:rPr>
          <w:b/>
          <w:bCs/>
          <w:color w:val="002060"/>
          <w:sz w:val="36"/>
          <w:szCs w:val="36"/>
        </w:rPr>
        <w:t>Modelado Predictivo Basado en PAC: Acoplamiento, Severidad y Riesgo Fisiológico Nocturno</w:t>
      </w:r>
    </w:p>
    <w:p w14:paraId="0833180C" w14:textId="77777777" w:rsidR="00A9687A" w:rsidRPr="00D639C0" w:rsidRDefault="00000000" w:rsidP="00D639C0">
      <w:pPr>
        <w:spacing w:after="400"/>
        <w:rPr>
          <w:sz w:val="18"/>
          <w:szCs w:val="18"/>
        </w:rPr>
      </w:pPr>
      <w:r w:rsidRPr="00D639C0">
        <w:rPr>
          <w:i/>
          <w:iCs/>
          <w:color w:val="666666"/>
          <w:sz w:val="18"/>
          <w:szCs w:val="18"/>
        </w:rPr>
        <w:t>Versión 4  ·  Junio 2026</w:t>
      </w:r>
    </w:p>
    <w:p w14:paraId="2B2E3B6F" w14:textId="77777777" w:rsidR="00A9687A" w:rsidRPr="00D639C0" w:rsidRDefault="00000000" w:rsidP="00D639C0">
      <w:pPr>
        <w:pStyle w:val="Ttulo2"/>
        <w:spacing w:line="360" w:lineRule="auto"/>
        <w:rPr>
          <w:rFonts w:asciiTheme="minorHAnsi" w:hAnsiTheme="minorHAnsi"/>
          <w:color w:val="002060"/>
        </w:rPr>
      </w:pPr>
      <w:r w:rsidRPr="00D639C0">
        <w:rPr>
          <w:rFonts w:asciiTheme="minorHAnsi" w:hAnsiTheme="minorHAnsi"/>
          <w:color w:val="002060"/>
        </w:rPr>
        <w:t>6.1  Contexto, corpus y diseño analítico</w:t>
      </w:r>
    </w:p>
    <w:p w14:paraId="59B0FEB0" w14:textId="244A6DE6" w:rsidR="00386647" w:rsidRPr="00386647" w:rsidRDefault="00386647" w:rsidP="00386647">
      <w:pPr>
        <w:pStyle w:val="font-claude-response-body"/>
        <w:spacing w:line="360" w:lineRule="auto"/>
        <w:jc w:val="both"/>
        <w:rPr>
          <w:rFonts w:asciiTheme="minorHAnsi" w:hAnsiTheme="minorHAnsi"/>
        </w:rPr>
      </w:pPr>
      <w:r w:rsidRPr="00386647">
        <w:rPr>
          <w:rFonts w:asciiTheme="minorHAnsi" w:hAnsiTheme="minorHAnsi"/>
        </w:rPr>
        <w:t>Este capítulo construye, sobre las representaciones PAC ya desarrolladas</w:t>
      </w:r>
      <w:r>
        <w:rPr>
          <w:rFonts w:asciiTheme="minorHAnsi" w:hAnsiTheme="minorHAnsi"/>
        </w:rPr>
        <w:t xml:space="preserve">, </w:t>
      </w:r>
      <w:r w:rsidRPr="00386647">
        <w:rPr>
          <w:rFonts w:asciiTheme="minorHAnsi" w:hAnsiTheme="minorHAnsi"/>
        </w:rPr>
        <w:t>morfotipos y reactividad autonómica (Cap04) y estados dinámicos (Cap05)</w:t>
      </w:r>
      <w:r>
        <w:rPr>
          <w:rFonts w:asciiTheme="minorHAnsi" w:hAnsiTheme="minorHAnsi"/>
        </w:rPr>
        <w:t xml:space="preserve">; </w:t>
      </w:r>
      <w:r w:rsidRPr="00386647">
        <w:rPr>
          <w:rFonts w:asciiTheme="minorHAnsi" w:hAnsiTheme="minorHAnsi"/>
        </w:rPr>
        <w:t xml:space="preserve"> </w:t>
      </w:r>
      <w:r>
        <w:rPr>
          <w:rFonts w:asciiTheme="minorHAnsi" w:hAnsiTheme="minorHAnsi"/>
        </w:rPr>
        <w:t xml:space="preserve">representa </w:t>
      </w:r>
      <w:r w:rsidRPr="00386647">
        <w:rPr>
          <w:rFonts w:asciiTheme="minorHAnsi" w:hAnsiTheme="minorHAnsi"/>
        </w:rPr>
        <w:t xml:space="preserve">el arco predictivo del proyecto: desde la cuantificación del acoplamiento entre morfotipos y estados hasta la integración de los modelos en el Risk Score PAC (0–100), un índice de caracterización dinámica retrospectiva que condensa la arquitectura fisiológica de una noche en un único valor interpretable. Los grupos de features se organizan en cuatro bloques: morfotipos C1–C5 (nivel evento), ARI (reactividad autonómica), </w:t>
      </w:r>
      <w:r>
        <w:rPr>
          <w:rFonts w:asciiTheme="minorHAnsi" w:hAnsiTheme="minorHAnsi"/>
        </w:rPr>
        <w:t xml:space="preserve">estados </w:t>
      </w:r>
      <w:r w:rsidRPr="00386647">
        <w:rPr>
          <w:rFonts w:asciiTheme="minorHAnsi" w:hAnsiTheme="minorHAnsi"/>
        </w:rPr>
        <w:t>PAC (fracciones de tiempo por estado en las tres escalas) y dinámica PAC (transiciones Markovianas, índices de acoplamiento, resiliencia y entropías). El análisis se organiza en tres bloques: acoplamiento y dinámica nocturna (§6.2–6.5), modelos predictivos validados por LOPO-CV (§6.6–6.8), y síntesis en el Risk Score PAC (§6.9). La Tabla 6.1 sintetiza el diseño analítico.</w:t>
      </w:r>
    </w:p>
    <w:p w14:paraId="76277E46" w14:textId="77777777" w:rsidR="00386647" w:rsidRPr="00386647" w:rsidRDefault="00386647" w:rsidP="00386647">
      <w:pPr>
        <w:pStyle w:val="font-claude-response-body"/>
        <w:spacing w:line="360" w:lineRule="auto"/>
        <w:jc w:val="both"/>
        <w:rPr>
          <w:rFonts w:asciiTheme="minorHAnsi" w:hAnsiTheme="minorHAnsi"/>
        </w:rPr>
      </w:pPr>
      <w:r w:rsidRPr="00386647">
        <w:rPr>
          <w:rFonts w:asciiTheme="minorHAnsi" w:hAnsiTheme="minorHAnsi"/>
        </w:rPr>
        <w:t>Dado el carácter observacional del estudio y el tamaño reducido de la cohorte, los resultados de este capítulo deben interpretarse como generadores de hipótesis, no como validación clínica, y los índices construidos ad hoc (Coupling Index, Risk Score PAC) como propuestas metodológicas cuya robustez requiere confirmación en cohortes independientes.</w:t>
      </w:r>
    </w:p>
    <w:p w14:paraId="60353CA6" w14:textId="77777777" w:rsidR="00A9687A" w:rsidRPr="00D639C0" w:rsidRDefault="00000000" w:rsidP="00D639C0">
      <w:pPr>
        <w:spacing w:before="200" w:after="60" w:line="360" w:lineRule="auto"/>
        <w:rPr>
          <w:rFonts w:asciiTheme="minorHAnsi" w:hAnsiTheme="minorHAnsi"/>
        </w:rPr>
      </w:pPr>
      <w:r w:rsidRPr="00D639C0">
        <w:rPr>
          <w:rFonts w:asciiTheme="minorHAnsi" w:hAnsiTheme="minorHAnsi"/>
          <w:b/>
          <w:bCs/>
          <w:sz w:val="20"/>
          <w:szCs w:val="20"/>
        </w:rPr>
        <w:t>Tabla 6.1. Resumen del diseño predictivo del Capítulo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200"/>
        <w:gridCol w:w="1700"/>
        <w:gridCol w:w="1600"/>
      </w:tblGrid>
      <w:tr w:rsidR="00A9687A" w:rsidRPr="00D639C0" w14:paraId="7D55D88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648C82"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Nivel</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6F601F"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Tarea predictiva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4C759B5"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NB</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C9436F"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Modelo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2CA229"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Cohorte</w:t>
            </w:r>
          </w:p>
        </w:tc>
      </w:tr>
      <w:tr w:rsidR="00A9687A" w:rsidRPr="00D639C0" w14:paraId="285C89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FD65B"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Evento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F46E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Clasificación evento severo C4/C5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4689"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NB07-B</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1C7F7"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LightGBM vs. LR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13289"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8 pac., 76.053 ev.</w:t>
            </w:r>
          </w:p>
        </w:tc>
      </w:tr>
      <w:tr w:rsidR="00A9687A" w:rsidRPr="00D639C0" w14:paraId="0670F9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434F8"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lastRenderedPageBreak/>
              <w:t>Noche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0C16B"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Clasificación binaria Normal+Leve vs. Mod.+Sev.</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90FF8"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NB07-C</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68A4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LR vs. RF</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31F34"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8 pac., 540 noches</w:t>
            </w:r>
          </w:p>
        </w:tc>
      </w:tr>
      <w:tr w:rsidR="00A9687A" w:rsidRPr="00D639C0" w14:paraId="72431D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76458"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Noche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1581E"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Clasificación multiclase AASM — ablación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E29B2"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NB06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297B6"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Random Forest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2F94E"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8 pac., 540 noches</w:t>
            </w:r>
          </w:p>
        </w:tc>
      </w:tr>
      <w:tr w:rsidR="00A9687A" w:rsidRPr="00D639C0" w14:paraId="708859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05EA5"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Integración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BA600"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Risk Score nocturno 0–100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C2179"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NB07-D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CDFC4"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Combinación pond.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166FA"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Cohorte estricta</w:t>
            </w:r>
          </w:p>
        </w:tc>
      </w:tr>
    </w:tbl>
    <w:p w14:paraId="39E0D3DC" w14:textId="77777777" w:rsidR="00A9687A" w:rsidRPr="00D639C0" w:rsidRDefault="00000000" w:rsidP="00D639C0">
      <w:pPr>
        <w:spacing w:after="100" w:line="360" w:lineRule="auto"/>
        <w:jc w:val="both"/>
        <w:rPr>
          <w:rFonts w:asciiTheme="minorHAnsi" w:hAnsiTheme="minorHAnsi"/>
        </w:rPr>
      </w:pPr>
      <w:r w:rsidRPr="00D639C0">
        <w:rPr>
          <w:rFonts w:asciiTheme="minorHAnsi" w:hAnsiTheme="minorHAnsi"/>
          <w:i/>
          <w:iCs/>
          <w:sz w:val="20"/>
          <w:szCs w:val="20"/>
        </w:rPr>
        <w:t>Nota. LOPO-CV: leave-one-patient-out cross-validation; n efectivo = 8 pacientes. NB05 opera sobre la cohorte completa (12 pac., 83.892 eventos). Los modelos predictivos operan sobre la cohorte estricta (8 pac., 540 noches).</w:t>
      </w:r>
    </w:p>
    <w:p w14:paraId="012C8401" w14:textId="64E0528A" w:rsidR="00A9687A" w:rsidRPr="00D639C0" w:rsidRDefault="00000000" w:rsidP="00D639C0">
      <w:pPr>
        <w:pStyle w:val="Ttulo2"/>
        <w:spacing w:line="360" w:lineRule="auto"/>
        <w:rPr>
          <w:rFonts w:asciiTheme="minorHAnsi" w:hAnsiTheme="minorHAnsi"/>
        </w:rPr>
      </w:pPr>
      <w:r w:rsidRPr="00D639C0">
        <w:rPr>
          <w:rFonts w:asciiTheme="minorHAnsi" w:hAnsiTheme="minorHAnsi"/>
        </w:rPr>
        <w:t>6.2  Acoplamiento morfotipo–estado PAC</w:t>
      </w:r>
    </w:p>
    <w:p w14:paraId="6717AF08" w14:textId="6E93CFE1" w:rsidR="00CC4DA3" w:rsidRPr="00CC4DA3" w:rsidRDefault="00CC4DA3" w:rsidP="00CC4DA3">
      <w:pPr>
        <w:pStyle w:val="font-claude-response-body"/>
        <w:spacing w:line="360" w:lineRule="auto"/>
        <w:jc w:val="both"/>
        <w:rPr>
          <w:rFonts w:asciiTheme="minorHAnsi" w:hAnsiTheme="minorHAnsi"/>
        </w:rPr>
      </w:pPr>
      <w:r w:rsidRPr="00CC4DA3">
        <w:rPr>
          <w:rFonts w:asciiTheme="minorHAnsi" w:hAnsiTheme="minorHAnsi"/>
        </w:rPr>
        <w:t>El análisis de acoplamiento entre morfotipos y estados</w:t>
      </w:r>
      <w:r>
        <w:rPr>
          <w:rFonts w:asciiTheme="minorHAnsi" w:hAnsiTheme="minorHAnsi"/>
        </w:rPr>
        <w:t>,</w:t>
      </w:r>
      <w:r w:rsidRPr="00CC4DA3">
        <w:rPr>
          <w:rFonts w:asciiTheme="minorHAnsi" w:hAnsiTheme="minorHAnsi"/>
        </w:rPr>
        <w:t xml:space="preserve"> cruza la distribución de morfotipos (C1–C5) con los estados PAC simultáneos en las tres escalas cuantificando la asociación mediante V de Cramér sobre </w:t>
      </w:r>
      <w:r w:rsidRPr="00CC4DA3">
        <w:rPr>
          <w:rFonts w:asciiTheme="minorHAnsi" w:hAnsiTheme="minorHAnsi"/>
          <w:i/>
          <w:iCs/>
        </w:rPr>
        <w:t>P(morfotipo | estado)</w:t>
      </w:r>
      <w:r w:rsidRPr="00CC4DA3">
        <w:rPr>
          <w:rFonts w:asciiTheme="minorHAnsi" w:hAnsiTheme="minorHAnsi"/>
        </w:rPr>
        <w:t xml:space="preserve">. Los resultados confirman que la asociación </w:t>
      </w:r>
      <w:r>
        <w:rPr>
          <w:rFonts w:asciiTheme="minorHAnsi" w:hAnsiTheme="minorHAnsi"/>
        </w:rPr>
        <w:t>sería</w:t>
      </w:r>
      <w:r w:rsidRPr="00CC4DA3">
        <w:rPr>
          <w:rFonts w:asciiTheme="minorHAnsi" w:hAnsiTheme="minorHAnsi"/>
        </w:rPr>
        <w:t xml:space="preserve"> real en las tres escalas y </w:t>
      </w:r>
      <w:r>
        <w:rPr>
          <w:rFonts w:asciiTheme="minorHAnsi" w:hAnsiTheme="minorHAnsi"/>
        </w:rPr>
        <w:t xml:space="preserve">que </w:t>
      </w:r>
      <w:r w:rsidRPr="00CC4DA3">
        <w:rPr>
          <w:rFonts w:asciiTheme="minorHAnsi" w:hAnsiTheme="minorHAnsi"/>
        </w:rPr>
        <w:t>decrece sistemáticamente al ampliar la ventana temporal: V = 0,355 (S), V = 0,229 (M) y V = 0,194 (L), sobre 83.892 eventos. Las letras del vocabulario nocturno llevan carga fisiológica</w:t>
      </w:r>
      <w:r>
        <w:rPr>
          <w:rFonts w:asciiTheme="minorHAnsi" w:hAnsiTheme="minorHAnsi"/>
        </w:rPr>
        <w:t xml:space="preserve">, </w:t>
      </w:r>
      <w:r w:rsidRPr="00CC4DA3">
        <w:rPr>
          <w:rFonts w:asciiTheme="minorHAnsi" w:hAnsiTheme="minorHAnsi"/>
        </w:rPr>
        <w:t xml:space="preserve">no son etiquetas arbitrarias, pero esa carga disminuye al pasar de microdinámica a arquitectura global. </w:t>
      </w:r>
      <w:r w:rsidR="006B067C" w:rsidRPr="006B067C">
        <w:rPr>
          <w:rFonts w:asciiTheme="minorHAnsi" w:hAnsiTheme="minorHAnsi"/>
        </w:rPr>
        <w:t>El riesgo relativo (</w:t>
      </w:r>
      <w:r w:rsidR="006B067C" w:rsidRPr="006B067C">
        <w:rPr>
          <w:rFonts w:asciiTheme="minorHAnsi" w:hAnsiTheme="minorHAnsi"/>
          <w:b/>
          <w:bCs/>
        </w:rPr>
        <w:t>RR</w:t>
      </w:r>
      <w:r w:rsidR="006B067C" w:rsidRPr="006B067C">
        <w:rPr>
          <w:rFonts w:asciiTheme="minorHAnsi" w:hAnsiTheme="minorHAnsi"/>
        </w:rPr>
        <w:t>) de evento severo cuantifica la magnitud de esta asociación: tomando como referencia la prevalencia global de morfotipos severos en el corpus (5,97 %), ciertos estados la elevan hasta 4–5 veces, mientras que otros la reducen por debajo del 2 % (Tabla 6.2).</w:t>
      </w:r>
    </w:p>
    <w:p w14:paraId="1CA66095" w14:textId="77777777" w:rsidR="00A9687A" w:rsidRPr="00D639C0" w:rsidRDefault="00000000" w:rsidP="00D639C0">
      <w:pPr>
        <w:spacing w:before="200" w:after="60" w:line="360" w:lineRule="auto"/>
        <w:rPr>
          <w:rFonts w:asciiTheme="minorHAnsi" w:hAnsiTheme="minorHAnsi"/>
        </w:rPr>
      </w:pPr>
      <w:r w:rsidRPr="00D639C0">
        <w:rPr>
          <w:rFonts w:asciiTheme="minorHAnsi" w:hAnsiTheme="minorHAnsi"/>
          <w:b/>
          <w:bCs/>
          <w:sz w:val="20"/>
          <w:szCs w:val="20"/>
        </w:rPr>
        <w:t>Tabla 6.2. Riesgo relativo de evento severo según estado PAC patológico (NB05, 83.892 eventos).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900"/>
        <w:gridCol w:w="2000"/>
        <w:gridCol w:w="1800"/>
      </w:tblGrid>
      <w:tr w:rsidR="00A9687A" w:rsidRPr="00D639C0" w14:paraId="3B182AFA"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D3F953"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Escala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10C866"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Estado de mayor riesgo</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E4A7C1"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P(severo) marginal</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046184"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P(severo | estado)</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1DECF3"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RR</w:t>
            </w:r>
          </w:p>
        </w:tc>
      </w:tr>
      <w:tr w:rsidR="00A9687A" w:rsidRPr="00D639C0" w14:paraId="339D06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586AC"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S (30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C43C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S6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04A10"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5,97 %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60075"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28,1 %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C6EA2"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4,70×</w:t>
            </w:r>
          </w:p>
        </w:tc>
      </w:tr>
      <w:tr w:rsidR="00A9687A" w:rsidRPr="00D639C0" w14:paraId="59F82E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C920A"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M (5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B489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M1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BF90F"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5,97 %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E7D22"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19,6 %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33C2D"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3,29×</w:t>
            </w:r>
          </w:p>
        </w:tc>
      </w:tr>
      <w:tr w:rsidR="00A9687A" w:rsidRPr="00D639C0" w14:paraId="6DF1D8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A149E"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L (30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5A314"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L0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DFA27"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5,97 %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2735F"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11,8 %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0EF1C"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1,98×</w:t>
            </w:r>
          </w:p>
        </w:tc>
      </w:tr>
    </w:tbl>
    <w:p w14:paraId="7213D29F" w14:textId="77777777" w:rsidR="00A9687A" w:rsidRPr="00D639C0" w:rsidRDefault="00000000" w:rsidP="00D639C0">
      <w:pPr>
        <w:spacing w:after="100" w:line="360" w:lineRule="auto"/>
        <w:jc w:val="both"/>
        <w:rPr>
          <w:rFonts w:asciiTheme="minorHAnsi" w:hAnsiTheme="minorHAnsi"/>
        </w:rPr>
      </w:pPr>
      <w:r w:rsidRPr="00D639C0">
        <w:rPr>
          <w:rFonts w:asciiTheme="minorHAnsi" w:hAnsiTheme="minorHAnsi"/>
          <w:i/>
          <w:iCs/>
          <w:sz w:val="20"/>
          <w:szCs w:val="20"/>
        </w:rPr>
        <w:lastRenderedPageBreak/>
        <w:t>Nota. RR = P(severo | estado) / P(severo) marginal. P(severo) marginal = 5,97 % (5.011 eventos C4+C5 / 83.892 totales).</w:t>
      </w:r>
    </w:p>
    <w:p w14:paraId="7D841E69" w14:textId="77777777" w:rsidR="00A9687A" w:rsidRPr="00D639C0" w:rsidRDefault="00000000" w:rsidP="00D639C0">
      <w:pPr>
        <w:spacing w:before="80" w:after="160" w:line="360" w:lineRule="auto"/>
        <w:rPr>
          <w:rFonts w:asciiTheme="minorHAnsi" w:hAnsiTheme="minorHAnsi"/>
        </w:rPr>
      </w:pPr>
      <w:r w:rsidRPr="00D639C0">
        <w:rPr>
          <w:rFonts w:ascii="Segoe UI Symbol" w:hAnsi="Segoe UI Symbol" w:cs="Segoe UI Symbol"/>
          <w:i/>
          <w:iCs/>
          <w:color w:val="555555"/>
          <w:sz w:val="20"/>
          <w:szCs w:val="20"/>
        </w:rPr>
        <w:t>▸</w:t>
      </w:r>
      <w:r w:rsidRPr="00D639C0">
        <w:rPr>
          <w:rFonts w:asciiTheme="minorHAnsi" w:hAnsiTheme="minorHAnsi"/>
          <w:i/>
          <w:iCs/>
          <w:color w:val="555555"/>
          <w:sz w:val="20"/>
          <w:szCs w:val="20"/>
        </w:rPr>
        <w:t xml:space="preserve"> Figuras complementarias en Anexo: Fig. 6.1 (distribución condicional P(morfotipo|estado)), Fig. 6.2 (riesgo relativo por estado).</w:t>
      </w:r>
    </w:p>
    <w:p w14:paraId="508F9DB3" w14:textId="3BDEFF17" w:rsidR="00A9687A" w:rsidRPr="00D639C0" w:rsidRDefault="00000000" w:rsidP="00D639C0">
      <w:pPr>
        <w:pStyle w:val="Ttulo2"/>
        <w:spacing w:line="360" w:lineRule="auto"/>
        <w:rPr>
          <w:rFonts w:asciiTheme="minorHAnsi" w:hAnsiTheme="minorHAnsi"/>
        </w:rPr>
      </w:pPr>
      <w:r w:rsidRPr="00D639C0">
        <w:rPr>
          <w:rFonts w:asciiTheme="minorHAnsi" w:hAnsiTheme="minorHAnsi"/>
        </w:rPr>
        <w:t>6.3  Coupling Index</w:t>
      </w:r>
    </w:p>
    <w:p w14:paraId="3E08F710" w14:textId="4E7668B5" w:rsidR="002F607E" w:rsidRPr="002F607E" w:rsidRDefault="002F607E" w:rsidP="002F607E">
      <w:pPr>
        <w:pStyle w:val="font-claude-response-body"/>
        <w:spacing w:line="360" w:lineRule="auto"/>
        <w:jc w:val="both"/>
        <w:rPr>
          <w:rFonts w:asciiTheme="minorHAnsi" w:hAnsiTheme="minorHAnsi"/>
        </w:rPr>
      </w:pPr>
      <w:r w:rsidRPr="002F607E">
        <w:rPr>
          <w:rFonts w:asciiTheme="minorHAnsi" w:hAnsiTheme="minorHAnsi"/>
        </w:rPr>
        <w:t>El coupling index (</w:t>
      </w:r>
      <w:r w:rsidRPr="002F607E">
        <w:rPr>
          <w:rFonts w:asciiTheme="minorHAnsi" w:hAnsiTheme="minorHAnsi"/>
          <w:b/>
          <w:bCs/>
        </w:rPr>
        <w:t>CI</w:t>
      </w:r>
      <w:r w:rsidRPr="002F607E">
        <w:rPr>
          <w:rFonts w:asciiTheme="minorHAnsi" w:hAnsiTheme="minorHAnsi"/>
        </w:rPr>
        <w:t>) es la fracción de eventos severos de cada noche que ocurrió dentro de un estado patológico, calculado en las tres escalas (</w:t>
      </w:r>
      <w:r w:rsidRPr="002F607E">
        <w:rPr>
          <w:rFonts w:asciiTheme="minorHAnsi" w:hAnsiTheme="minorHAnsi"/>
          <w:i/>
          <w:iCs/>
        </w:rPr>
        <w:t>ci_s, ci_m, ci_l</w:t>
      </w:r>
      <w:r w:rsidRPr="002F607E">
        <w:rPr>
          <w:rFonts w:asciiTheme="minorHAnsi" w:hAnsiTheme="minorHAnsi"/>
        </w:rPr>
        <w:t>). A diferencia de la fracción de eventos severos</w:t>
      </w:r>
      <w:r>
        <w:rPr>
          <w:rFonts w:asciiTheme="minorHAnsi" w:hAnsiTheme="minorHAnsi"/>
        </w:rPr>
        <w:t xml:space="preserve">, </w:t>
      </w:r>
      <w:r w:rsidRPr="002F607E">
        <w:rPr>
          <w:rFonts w:asciiTheme="minorHAnsi" w:hAnsiTheme="minorHAnsi"/>
        </w:rPr>
        <w:t>que s</w:t>
      </w:r>
      <w:r>
        <w:rPr>
          <w:rFonts w:asciiTheme="minorHAnsi" w:hAnsiTheme="minorHAnsi"/>
        </w:rPr>
        <w:t>ó</w:t>
      </w:r>
      <w:r w:rsidRPr="002F607E">
        <w:rPr>
          <w:rFonts w:asciiTheme="minorHAnsi" w:hAnsiTheme="minorHAnsi"/>
        </w:rPr>
        <w:t xml:space="preserve">lo cuenta cuántos ocurrieron, </w:t>
      </w:r>
      <w:r w:rsidRPr="002F607E">
        <w:rPr>
          <w:rFonts w:asciiTheme="minorHAnsi" w:hAnsiTheme="minorHAnsi"/>
          <w:b/>
          <w:bCs/>
        </w:rPr>
        <w:t>el CI pregunta en qué contexto dinámico ocurrieron</w:t>
      </w:r>
      <w:r w:rsidRPr="002F607E">
        <w:rPr>
          <w:rFonts w:asciiTheme="minorHAnsi" w:hAnsiTheme="minorHAnsi"/>
        </w:rPr>
        <w:t>: no es lo mismo que todos los eventos severos de una noche sucedan cuando el sistema está en estado de alta carga que cuando ocurren dispersos en estados de baja carga.</w:t>
      </w:r>
    </w:p>
    <w:p w14:paraId="72DCDC8F" w14:textId="1B10BB93" w:rsidR="002F607E" w:rsidRPr="002F607E" w:rsidRDefault="002F607E" w:rsidP="002F607E">
      <w:pPr>
        <w:pStyle w:val="font-claude-response-body"/>
        <w:spacing w:line="360" w:lineRule="auto"/>
        <w:jc w:val="both"/>
        <w:rPr>
          <w:rFonts w:asciiTheme="minorHAnsi" w:hAnsiTheme="minorHAnsi"/>
        </w:rPr>
      </w:pPr>
      <w:r w:rsidRPr="002F607E">
        <w:rPr>
          <w:rFonts w:asciiTheme="minorHAnsi" w:hAnsiTheme="minorHAnsi"/>
        </w:rPr>
        <w:t xml:space="preserve">El hallazgo más relevante es que </w:t>
      </w:r>
      <w:r w:rsidR="007115A3">
        <w:rPr>
          <w:rFonts w:asciiTheme="minorHAnsi" w:hAnsiTheme="minorHAnsi"/>
        </w:rPr>
        <w:t xml:space="preserve">no se observa correlación lineal entre </w:t>
      </w:r>
      <w:r w:rsidRPr="002F607E">
        <w:rPr>
          <w:rFonts w:asciiTheme="minorHAnsi" w:hAnsiTheme="minorHAnsi"/>
          <w:b/>
          <w:bCs/>
        </w:rPr>
        <w:t>ci_s</w:t>
      </w:r>
      <w:r w:rsidRPr="002F607E">
        <w:rPr>
          <w:rFonts w:asciiTheme="minorHAnsi" w:hAnsiTheme="minorHAnsi"/>
        </w:rPr>
        <w:t xml:space="preserve"> y </w:t>
      </w:r>
      <w:r w:rsidRPr="002F607E">
        <w:rPr>
          <w:rFonts w:asciiTheme="minorHAnsi" w:hAnsiTheme="minorHAnsi"/>
          <w:b/>
          <w:bCs/>
        </w:rPr>
        <w:t>ci_m</w:t>
      </w:r>
      <w:r w:rsidRPr="002F607E">
        <w:rPr>
          <w:rFonts w:asciiTheme="minorHAnsi" w:hAnsiTheme="minorHAnsi"/>
        </w:rPr>
        <w:t xml:space="preserve"> s</w:t>
      </w:r>
      <w:r w:rsidR="007115A3">
        <w:rPr>
          <w:rFonts w:asciiTheme="minorHAnsi" w:hAnsiTheme="minorHAnsi"/>
        </w:rPr>
        <w:t>iendo</w:t>
      </w:r>
      <w:r w:rsidRPr="002F607E">
        <w:rPr>
          <w:rFonts w:asciiTheme="minorHAnsi" w:hAnsiTheme="minorHAnsi"/>
        </w:rPr>
        <w:t xml:space="preserve"> prácticamente independientes (</w:t>
      </w:r>
      <w:r w:rsidRPr="00740724">
        <w:rPr>
          <w:rFonts w:asciiTheme="minorHAnsi" w:hAnsiTheme="minorHAnsi"/>
          <w:i/>
          <w:iCs/>
        </w:rPr>
        <w:t>r = 0,066</w:t>
      </w:r>
      <w:r w:rsidRPr="002F607E">
        <w:rPr>
          <w:rFonts w:asciiTheme="minorHAnsi" w:hAnsiTheme="minorHAnsi"/>
        </w:rPr>
        <w:t>). Que en una noche los eventos severos se concentren en estados patológicos de 30 s no garantiza que esos mismos momentos sean también patológicos vistos desde una ventana de 5 minutos</w:t>
      </w:r>
      <w:r w:rsidR="00740724">
        <w:rPr>
          <w:rFonts w:asciiTheme="minorHAnsi" w:hAnsiTheme="minorHAnsi"/>
        </w:rPr>
        <w:t>;</w:t>
      </w:r>
      <w:r w:rsidR="007115A3">
        <w:rPr>
          <w:rFonts w:asciiTheme="minorHAnsi" w:hAnsiTheme="minorHAnsi"/>
        </w:rPr>
        <w:t xml:space="preserve"> </w:t>
      </w:r>
      <w:r w:rsidRPr="002F607E">
        <w:rPr>
          <w:rFonts w:asciiTheme="minorHAnsi" w:hAnsiTheme="minorHAnsi"/>
        </w:rPr>
        <w:t xml:space="preserve">las dos escalas recortan el tiempo de forma distinta y capturan dimensiones distintas del contexto fisiológico. La correlación moderada entre </w:t>
      </w:r>
      <w:r w:rsidRPr="007115A3">
        <w:rPr>
          <w:rFonts w:asciiTheme="minorHAnsi" w:hAnsiTheme="minorHAnsi"/>
          <w:b/>
          <w:bCs/>
        </w:rPr>
        <w:t>ci_m</w:t>
      </w:r>
      <w:r w:rsidRPr="002F607E">
        <w:rPr>
          <w:rFonts w:asciiTheme="minorHAnsi" w:hAnsiTheme="minorHAnsi"/>
        </w:rPr>
        <w:t xml:space="preserve"> y </w:t>
      </w:r>
      <w:r w:rsidRPr="007115A3">
        <w:rPr>
          <w:rFonts w:asciiTheme="minorHAnsi" w:hAnsiTheme="minorHAnsi"/>
          <w:b/>
          <w:bCs/>
        </w:rPr>
        <w:t>ci_l</w:t>
      </w:r>
      <w:r w:rsidRPr="002F607E">
        <w:rPr>
          <w:rFonts w:asciiTheme="minorHAnsi" w:hAnsiTheme="minorHAnsi"/>
        </w:rPr>
        <w:t xml:space="preserve"> (</w:t>
      </w:r>
      <w:r w:rsidRPr="00740724">
        <w:rPr>
          <w:rFonts w:asciiTheme="minorHAnsi" w:hAnsiTheme="minorHAnsi"/>
          <w:i/>
          <w:iCs/>
        </w:rPr>
        <w:t>r = 0,291</w:t>
      </w:r>
      <w:r w:rsidRPr="002F607E">
        <w:rPr>
          <w:rFonts w:asciiTheme="minorHAnsi" w:hAnsiTheme="minorHAnsi"/>
        </w:rPr>
        <w:t>) tiene sentido: 5 min y 30 min comparten más contexto temporal que 30 s y 5 min, y por eso se mueven algo más juntas. En conjunto, la baja correlación entre escalas justifica el uso combinado de las tres métricas en los modelos predictivos sin riesgo de multicolinealidad.</w:t>
      </w:r>
    </w:p>
    <w:p w14:paraId="49D2F467" w14:textId="77777777" w:rsidR="00A9687A" w:rsidRPr="00D639C0" w:rsidRDefault="00000000" w:rsidP="00D639C0">
      <w:pPr>
        <w:spacing w:before="200" w:after="60" w:line="360" w:lineRule="auto"/>
        <w:rPr>
          <w:rFonts w:asciiTheme="minorHAnsi" w:hAnsiTheme="minorHAnsi"/>
        </w:rPr>
      </w:pPr>
      <w:r w:rsidRPr="00D639C0">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5DBFBE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F6ECA8"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E1CFAE"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E94091"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5EEC44"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D4A2"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Interpretación fisiológica</w:t>
            </w:r>
          </w:p>
        </w:tc>
      </w:tr>
      <w:tr w:rsidR="00A9687A" w:rsidRPr="00D639C0" w14:paraId="0BFF19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CB25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2045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CCCC0"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7D178"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BBBC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Acoplamiento en microdinámica evento a evento</w:t>
            </w:r>
          </w:p>
        </w:tc>
      </w:tr>
      <w:tr w:rsidR="00A9687A" w:rsidRPr="00D639C0" w14:paraId="744723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258C2"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lastRenderedPageBreak/>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3DDB9"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DD47A"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D3718"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76769"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Acoplamiento en regulación intermedia</w:t>
            </w:r>
          </w:p>
        </w:tc>
      </w:tr>
      <w:tr w:rsidR="00A9687A" w:rsidRPr="00D639C0" w14:paraId="4926BE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F3A1D"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566D8"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72D0F"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861F5"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2AEC0"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Acoplamiento en arquitectura nocturna global</w:t>
            </w:r>
          </w:p>
        </w:tc>
      </w:tr>
    </w:tbl>
    <w:p w14:paraId="6E72FAD7" w14:textId="77777777" w:rsidR="00A9687A" w:rsidRPr="00D639C0" w:rsidRDefault="00000000" w:rsidP="00D639C0">
      <w:pPr>
        <w:spacing w:after="100" w:line="360" w:lineRule="auto"/>
        <w:jc w:val="both"/>
        <w:rPr>
          <w:rFonts w:asciiTheme="minorHAnsi" w:hAnsiTheme="minorHAnsi"/>
        </w:rPr>
      </w:pPr>
      <w:r w:rsidRPr="00D639C0">
        <w:rPr>
          <w:rFonts w:asciiTheme="minorHAnsi" w:hAnsiTheme="minorHAnsi"/>
          <w:i/>
          <w:iCs/>
          <w:sz w:val="20"/>
          <w:szCs w:val="20"/>
        </w:rPr>
        <w:t>Nota. Estados patológicos definidos como los estados cuya tasa de eventos C4+C5 supera la mediana del corpus. Origen: NB05, Sección 3.</w:t>
      </w:r>
    </w:p>
    <w:p w14:paraId="4C0DFCAC" w14:textId="77777777" w:rsidR="00A9687A" w:rsidRPr="00D639C0" w:rsidRDefault="00000000" w:rsidP="00D639C0">
      <w:pPr>
        <w:spacing w:before="80" w:after="160" w:line="360" w:lineRule="auto"/>
        <w:rPr>
          <w:rFonts w:asciiTheme="minorHAnsi" w:hAnsiTheme="minorHAnsi"/>
        </w:rPr>
      </w:pPr>
      <w:r w:rsidRPr="00D639C0">
        <w:rPr>
          <w:rFonts w:ascii="Segoe UI Symbol" w:hAnsi="Segoe UI Symbol" w:cs="Segoe UI Symbol"/>
          <w:i/>
          <w:iCs/>
          <w:color w:val="555555"/>
          <w:sz w:val="20"/>
          <w:szCs w:val="20"/>
        </w:rPr>
        <w:t>▸</w:t>
      </w:r>
      <w:r w:rsidRPr="00D639C0">
        <w:rPr>
          <w:rFonts w:asciiTheme="minorHAnsi" w:hAnsiTheme="minorHAnsi"/>
          <w:i/>
          <w:iCs/>
          <w:color w:val="555555"/>
          <w:sz w:val="20"/>
          <w:szCs w:val="20"/>
        </w:rPr>
        <w:t xml:space="preserve"> Figuras complementarias en Anexo: Fig. 6.3 (coupling index por escala), Fig. 6.4c (dos noches con ODI3 idéntico y CI opuesto).</w:t>
      </w:r>
    </w:p>
    <w:p w14:paraId="4FA321FC" w14:textId="0A3A8177" w:rsidR="00A9687A" w:rsidRPr="00D639C0" w:rsidRDefault="00000000" w:rsidP="00D639C0">
      <w:pPr>
        <w:pStyle w:val="Ttulo2"/>
        <w:spacing w:line="360" w:lineRule="auto"/>
        <w:rPr>
          <w:rFonts w:asciiTheme="minorHAnsi" w:hAnsiTheme="minorHAnsi"/>
        </w:rPr>
      </w:pPr>
      <w:r w:rsidRPr="00D639C0">
        <w:rPr>
          <w:rFonts w:asciiTheme="minorHAnsi" w:hAnsiTheme="minorHAnsi"/>
        </w:rPr>
        <w:t>6.4  Resiliencia fisiológica y dinámica Markoviana</w:t>
      </w:r>
    </w:p>
    <w:p w14:paraId="155AB7B3" w14:textId="77777777" w:rsidR="00CB29B7" w:rsidRDefault="00876E61" w:rsidP="00D639C0">
      <w:pPr>
        <w:spacing w:after="200" w:line="360" w:lineRule="auto"/>
        <w:jc w:val="both"/>
      </w:pPr>
      <w:r w:rsidRPr="00876E61">
        <w:rPr>
          <w:rFonts w:asciiTheme="minorHAnsi" w:hAnsiTheme="minorHAnsi"/>
        </w:rPr>
        <w:t>El análisis de la dinámica temporal posterior a eventos severos revela que el sistema fisiológico se recupera con distinta velocidad según la escala con que se observe</w:t>
      </w:r>
      <w:r>
        <w:rPr>
          <w:rFonts w:asciiTheme="minorHAnsi" w:hAnsiTheme="minorHAnsi"/>
        </w:rPr>
        <w:t xml:space="preserve">, esto es lo que se denomina </w:t>
      </w:r>
      <w:r w:rsidRPr="00876E61">
        <w:rPr>
          <w:rFonts w:asciiTheme="minorHAnsi" w:hAnsiTheme="minorHAnsi"/>
          <w:i/>
          <w:iCs/>
        </w:rPr>
        <w:t>resiliencia</w:t>
      </w:r>
      <w:r w:rsidRPr="00876E61">
        <w:rPr>
          <w:rFonts w:asciiTheme="minorHAnsi" w:hAnsiTheme="minorHAnsi"/>
        </w:rPr>
        <w:t xml:space="preserve">: en la </w:t>
      </w:r>
      <w:r w:rsidRPr="004774AE">
        <w:rPr>
          <w:rFonts w:asciiTheme="minorHAnsi" w:hAnsiTheme="minorHAnsi"/>
          <w:b/>
          <w:bCs/>
        </w:rPr>
        <w:t>escala S</w:t>
      </w:r>
      <w:r w:rsidRPr="00876E61">
        <w:rPr>
          <w:rFonts w:asciiTheme="minorHAnsi" w:hAnsiTheme="minorHAnsi"/>
        </w:rPr>
        <w:t xml:space="preserve"> (30 s) muestra alta resiliencia, retornando rápidamente a un estado no patológico; en la </w:t>
      </w:r>
      <w:r w:rsidRPr="004774AE">
        <w:rPr>
          <w:rFonts w:asciiTheme="minorHAnsi" w:hAnsiTheme="minorHAnsi"/>
          <w:b/>
          <w:bCs/>
        </w:rPr>
        <w:t>escala M</w:t>
      </w:r>
      <w:r w:rsidRPr="00876E61">
        <w:rPr>
          <w:rFonts w:asciiTheme="minorHAnsi" w:hAnsiTheme="minorHAnsi"/>
        </w:rPr>
        <w:t xml:space="preserve"> (5 min) la recuperación es más lenta; y en la </w:t>
      </w:r>
      <w:r w:rsidRPr="004774AE">
        <w:rPr>
          <w:rFonts w:asciiTheme="minorHAnsi" w:hAnsiTheme="minorHAnsi"/>
          <w:b/>
          <w:bCs/>
        </w:rPr>
        <w:t>escala L</w:t>
      </w:r>
      <w:r w:rsidRPr="00876E61">
        <w:rPr>
          <w:rFonts w:asciiTheme="minorHAnsi" w:hAnsiTheme="minorHAnsi"/>
        </w:rPr>
        <w:t xml:space="preserve"> (30 min) predomina la persistencia</w:t>
      </w:r>
      <w:r>
        <w:rPr>
          <w:rFonts w:asciiTheme="minorHAnsi" w:hAnsiTheme="minorHAnsi"/>
        </w:rPr>
        <w:t>;</w:t>
      </w:r>
      <w:r w:rsidRPr="00876E61">
        <w:rPr>
          <w:rFonts w:asciiTheme="minorHAnsi" w:hAnsiTheme="minorHAnsi"/>
        </w:rPr>
        <w:t xml:space="preserve"> el sistema tiende a permanecer en el estado patológico dentro de la misma ventana. Cuanto más amplia es la lente temporal, menor es la resiliencia observada (Tabla 6.4).</w:t>
      </w:r>
      <w:r>
        <w:t xml:space="preserve"> </w:t>
      </w:r>
    </w:p>
    <w:p w14:paraId="754A1462" w14:textId="77777777" w:rsidR="00CD7DAA" w:rsidRPr="00D639C0" w:rsidRDefault="00CD7DAA" w:rsidP="00CD7DAA">
      <w:pPr>
        <w:spacing w:before="200" w:after="60" w:line="360" w:lineRule="auto"/>
        <w:rPr>
          <w:rFonts w:asciiTheme="minorHAnsi" w:hAnsiTheme="minorHAnsi"/>
        </w:rPr>
      </w:pPr>
      <w:r w:rsidRPr="00D639C0">
        <w:rPr>
          <w:rFonts w:asciiTheme="minorHAnsi" w:hAnsiTheme="minorHAnsi"/>
          <w:b/>
          <w:bCs/>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CA34F0" w:rsidRPr="00D639C0" w14:paraId="407DD0F4" w14:textId="5A845B2C" w:rsidTr="00CA34F0">
        <w:tblPrEx>
          <w:tblCellMar>
            <w:top w:w="0" w:type="dxa"/>
            <w:bottom w:w="0" w:type="dxa"/>
          </w:tblCellMar>
        </w:tblPrEx>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FCDB74" w14:textId="77777777" w:rsidR="00CA34F0" w:rsidRPr="00D639C0" w:rsidRDefault="00CA34F0" w:rsidP="00E72CB4">
            <w:pPr>
              <w:spacing w:line="360" w:lineRule="auto"/>
              <w:rPr>
                <w:rFonts w:asciiTheme="minorHAnsi" w:hAnsiTheme="minorHAnsi"/>
              </w:rPr>
            </w:pPr>
            <w:r w:rsidRPr="00D639C0">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7BC18A" w14:textId="77777777" w:rsidR="00CA34F0" w:rsidRPr="00D639C0" w:rsidRDefault="00CA34F0" w:rsidP="00E72CB4">
            <w:pPr>
              <w:spacing w:line="360" w:lineRule="auto"/>
              <w:rPr>
                <w:rFonts w:asciiTheme="minorHAnsi" w:hAnsiTheme="minorHAnsi"/>
              </w:rPr>
            </w:pPr>
            <w:r w:rsidRPr="00D639C0">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BCA126" w14:textId="77777777" w:rsidR="00CA34F0" w:rsidRPr="00D639C0" w:rsidRDefault="00CA34F0" w:rsidP="00E72CB4">
            <w:pPr>
              <w:spacing w:line="360" w:lineRule="auto"/>
              <w:rPr>
                <w:rFonts w:asciiTheme="minorHAnsi" w:hAnsiTheme="minorHAnsi"/>
              </w:rPr>
            </w:pPr>
            <w:r w:rsidRPr="00D639C0">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7F1CB9" w14:textId="77777777" w:rsidR="00CA34F0" w:rsidRPr="00D639C0" w:rsidRDefault="00CA34F0" w:rsidP="00E72CB4">
            <w:pPr>
              <w:spacing w:line="360" w:lineRule="auto"/>
              <w:rPr>
                <w:rFonts w:asciiTheme="minorHAnsi" w:hAnsiTheme="minorHAnsi"/>
              </w:rPr>
            </w:pPr>
            <w:r w:rsidRPr="00D639C0">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AA9355" w14:textId="4F276B43" w:rsidR="00CA34F0" w:rsidRPr="00D639C0" w:rsidRDefault="00CA34F0" w:rsidP="00CA34F0">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CA34F0" w:rsidRPr="00D639C0" w14:paraId="67B319C0" w14:textId="04E2F062" w:rsidTr="00CA34F0">
        <w:tblPrEx>
          <w:tblCellMar>
            <w:top w:w="0" w:type="dxa"/>
            <w:bottom w:w="0" w:type="dxa"/>
          </w:tblCellMar>
        </w:tblPrEx>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60220"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C452B"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374B"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42CB0"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112CA48A" w14:textId="63C0EAF4" w:rsidR="00CA34F0" w:rsidRPr="00D639C0" w:rsidRDefault="00CA34F0" w:rsidP="0042185E">
            <w:pPr>
              <w:spacing w:line="360" w:lineRule="auto"/>
              <w:ind w:left="65"/>
              <w:rPr>
                <w:rFonts w:asciiTheme="minorHAnsi" w:hAnsiTheme="minorHAnsi"/>
                <w:sz w:val="20"/>
                <w:szCs w:val="20"/>
              </w:rPr>
            </w:pPr>
            <w:r>
              <w:rPr>
                <w:rFonts w:asciiTheme="minorHAnsi" w:hAnsiTheme="minorHAnsi"/>
                <w:sz w:val="20"/>
                <w:szCs w:val="20"/>
              </w:rPr>
              <w:t xml:space="preserve"> 16</w:t>
            </w:r>
            <w:r w:rsidR="0042185E">
              <w:rPr>
                <w:rFonts w:asciiTheme="minorHAnsi" w:hAnsiTheme="minorHAnsi"/>
                <w:sz w:val="20"/>
                <w:szCs w:val="20"/>
              </w:rPr>
              <w:t>,</w:t>
            </w:r>
            <w:r>
              <w:rPr>
                <w:rFonts w:asciiTheme="minorHAnsi" w:hAnsiTheme="minorHAnsi"/>
                <w:sz w:val="20"/>
                <w:szCs w:val="20"/>
              </w:rPr>
              <w:t>5 %</w:t>
            </w:r>
          </w:p>
        </w:tc>
      </w:tr>
      <w:tr w:rsidR="00CA34F0" w:rsidRPr="00D639C0" w14:paraId="489F233A" w14:textId="78B0F9CD" w:rsidTr="00CA34F0">
        <w:tblPrEx>
          <w:tblCellMar>
            <w:top w:w="0" w:type="dxa"/>
            <w:bottom w:w="0" w:type="dxa"/>
          </w:tblCellMar>
        </w:tblPrEx>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FD555"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7FE02"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894A7"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BA328"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386C2C1A" w14:textId="6FD1EEBE" w:rsidR="00CA34F0" w:rsidRPr="00D639C0" w:rsidRDefault="00CA34F0" w:rsidP="0042185E">
            <w:pPr>
              <w:spacing w:line="360" w:lineRule="auto"/>
              <w:ind w:left="65"/>
              <w:rPr>
                <w:rFonts w:asciiTheme="minorHAnsi" w:hAnsiTheme="minorHAnsi"/>
                <w:sz w:val="20"/>
                <w:szCs w:val="20"/>
              </w:rPr>
            </w:pPr>
            <w:r>
              <w:rPr>
                <w:rFonts w:asciiTheme="minorHAnsi" w:hAnsiTheme="minorHAnsi"/>
                <w:sz w:val="20"/>
                <w:szCs w:val="20"/>
              </w:rPr>
              <w:t xml:space="preserve">  7</w:t>
            </w:r>
            <w:r w:rsidR="0042185E">
              <w:rPr>
                <w:rFonts w:asciiTheme="minorHAnsi" w:hAnsiTheme="minorHAnsi"/>
                <w:sz w:val="20"/>
                <w:szCs w:val="20"/>
              </w:rPr>
              <w:t>,</w:t>
            </w:r>
            <w:r>
              <w:rPr>
                <w:rFonts w:asciiTheme="minorHAnsi" w:hAnsiTheme="minorHAnsi"/>
                <w:sz w:val="20"/>
                <w:szCs w:val="20"/>
              </w:rPr>
              <w:t>3%</w:t>
            </w:r>
          </w:p>
        </w:tc>
      </w:tr>
      <w:tr w:rsidR="00CA34F0" w:rsidRPr="00D639C0" w14:paraId="6B543629" w14:textId="28E4BA3D" w:rsidTr="00CA34F0">
        <w:tblPrEx>
          <w:tblCellMar>
            <w:top w:w="0" w:type="dxa"/>
            <w:bottom w:w="0" w:type="dxa"/>
          </w:tblCellMar>
        </w:tblPrEx>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73EEA"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55E7D"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6C631" w14:textId="5B4B9C7B"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E050A" w14:textId="77777777" w:rsidR="00CA34F0" w:rsidRPr="00D639C0" w:rsidRDefault="00CA34F0" w:rsidP="00E72CB4">
            <w:pPr>
              <w:spacing w:line="360" w:lineRule="auto"/>
              <w:rPr>
                <w:rFonts w:asciiTheme="minorHAnsi" w:hAnsiTheme="minorHAnsi"/>
              </w:rPr>
            </w:pPr>
            <w:r w:rsidRPr="00D639C0">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69C97300" w14:textId="7B028ABF" w:rsidR="00CA34F0" w:rsidRPr="00D639C0" w:rsidRDefault="00CA34F0" w:rsidP="0042185E">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8AEA175" w14:textId="12424BC9" w:rsidR="00CD7DAA" w:rsidRPr="00D639C0" w:rsidRDefault="00CD7DAA" w:rsidP="00CD7DAA">
      <w:pPr>
        <w:spacing w:after="100" w:line="360" w:lineRule="auto"/>
        <w:jc w:val="both"/>
        <w:rPr>
          <w:rFonts w:asciiTheme="minorHAnsi" w:hAnsiTheme="minorHAnsi"/>
        </w:rPr>
      </w:pPr>
      <w:r w:rsidRPr="00D639C0">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65CC9A58" w14:textId="603C7798" w:rsidR="00CD7DAA" w:rsidRPr="00CD7DAA" w:rsidRDefault="00CD7DAA" w:rsidP="00CD7DAA">
      <w:pPr>
        <w:spacing w:before="80" w:after="160" w:line="360" w:lineRule="auto"/>
        <w:rPr>
          <w:rFonts w:asciiTheme="minorHAnsi" w:hAnsiTheme="minorHAnsi"/>
        </w:rPr>
      </w:pPr>
      <w:r w:rsidRPr="00D639C0">
        <w:rPr>
          <w:rFonts w:ascii="Segoe UI Symbol" w:hAnsi="Segoe UI Symbol" w:cs="Segoe UI Symbol"/>
          <w:i/>
          <w:iCs/>
          <w:color w:val="555555"/>
          <w:sz w:val="20"/>
          <w:szCs w:val="20"/>
        </w:rPr>
        <w:t>▸</w:t>
      </w:r>
      <w:r w:rsidRPr="00D639C0">
        <w:rPr>
          <w:rFonts w:asciiTheme="minorHAnsi" w:hAnsiTheme="minorHAnsi"/>
          <w:i/>
          <w:iCs/>
          <w:color w:val="555555"/>
          <w:sz w:val="20"/>
          <w:szCs w:val="20"/>
        </w:rPr>
        <w:t xml:space="preserve"> Figura complementaria en Anexo: Fig. 6.5 (matrices de transición Markovianas por escala).</w:t>
      </w:r>
    </w:p>
    <w:p w14:paraId="56C13D88" w14:textId="2331D319" w:rsidR="007B0DF7" w:rsidRPr="007B0DF7" w:rsidRDefault="007B0DF7" w:rsidP="007B0DF7">
      <w:pPr>
        <w:pStyle w:val="font-claude-response-body"/>
        <w:spacing w:line="360" w:lineRule="auto"/>
        <w:jc w:val="both"/>
        <w:rPr>
          <w:rFonts w:asciiTheme="minorHAnsi" w:hAnsiTheme="minorHAnsi"/>
        </w:rPr>
      </w:pPr>
      <w:r w:rsidRPr="007B0DF7">
        <w:rPr>
          <w:rFonts w:asciiTheme="minorHAnsi" w:hAnsiTheme="minorHAnsi"/>
        </w:rPr>
        <w:lastRenderedPageBreak/>
        <w:t xml:space="preserve">Para entender estos números hay que imaginar qué ocurre después de cada evento severo. En la </w:t>
      </w:r>
      <w:r w:rsidRPr="007B0DF7">
        <w:rPr>
          <w:rFonts w:asciiTheme="minorHAnsi" w:hAnsiTheme="minorHAnsi"/>
          <w:b/>
          <w:bCs/>
        </w:rPr>
        <w:t>escala S</w:t>
      </w:r>
      <w:r w:rsidRPr="007B0DF7">
        <w:rPr>
          <w:rFonts w:asciiTheme="minorHAnsi" w:hAnsiTheme="minorHAnsi"/>
        </w:rPr>
        <w:t xml:space="preserve"> </w:t>
      </w:r>
      <w:r>
        <w:rPr>
          <w:rFonts w:asciiTheme="minorHAnsi" w:hAnsiTheme="minorHAnsi"/>
        </w:rPr>
        <w:t>(</w:t>
      </w:r>
      <w:r w:rsidRPr="007B0DF7">
        <w:rPr>
          <w:rFonts w:asciiTheme="minorHAnsi" w:hAnsiTheme="minorHAnsi"/>
        </w:rPr>
        <w:t>mirando ventanas de 30 segundos</w:t>
      </w:r>
      <w:r>
        <w:rPr>
          <w:rFonts w:asciiTheme="minorHAnsi" w:hAnsiTheme="minorHAnsi"/>
        </w:rPr>
        <w:t>)</w:t>
      </w:r>
      <w:r w:rsidRPr="007B0DF7">
        <w:rPr>
          <w:rFonts w:asciiTheme="minorHAnsi" w:hAnsiTheme="minorHAnsi"/>
        </w:rPr>
        <w:t xml:space="preserve"> el sistema se recupera: en el 43,3 % de los casos, el estado patológico activo en el momento del evento severo es seguido por un estado protector. Es como un golpe que el organismo absorbe y de cuya tensión se recupera en segundos.</w:t>
      </w:r>
    </w:p>
    <w:p w14:paraId="4E6269DD" w14:textId="2B15867E" w:rsidR="007B0DF7" w:rsidRPr="007B0DF7" w:rsidRDefault="007B0DF7" w:rsidP="007B0DF7">
      <w:pPr>
        <w:pStyle w:val="font-claude-response-body"/>
        <w:spacing w:line="360" w:lineRule="auto"/>
        <w:jc w:val="both"/>
        <w:rPr>
          <w:rFonts w:asciiTheme="minorHAnsi" w:hAnsiTheme="minorHAnsi"/>
        </w:rPr>
      </w:pPr>
      <w:r w:rsidRPr="007B0DF7">
        <w:rPr>
          <w:rFonts w:asciiTheme="minorHAnsi" w:hAnsiTheme="minorHAnsi"/>
        </w:rPr>
        <w:t xml:space="preserve">En la </w:t>
      </w:r>
      <w:r w:rsidRPr="007B0DF7">
        <w:rPr>
          <w:rFonts w:asciiTheme="minorHAnsi" w:hAnsiTheme="minorHAnsi"/>
          <w:b/>
          <w:bCs/>
        </w:rPr>
        <w:t>escala M</w:t>
      </w:r>
      <w:r w:rsidRPr="007B0DF7">
        <w:rPr>
          <w:rFonts w:asciiTheme="minorHAnsi" w:hAnsiTheme="minorHAnsi"/>
        </w:rPr>
        <w:t xml:space="preserve"> la historia cambia: s</w:t>
      </w:r>
      <w:r>
        <w:rPr>
          <w:rFonts w:asciiTheme="minorHAnsi" w:hAnsiTheme="minorHAnsi"/>
        </w:rPr>
        <w:t>o</w:t>
      </w:r>
      <w:r w:rsidRPr="007B0DF7">
        <w:rPr>
          <w:rFonts w:asciiTheme="minorHAnsi" w:hAnsiTheme="minorHAnsi"/>
        </w:rPr>
        <w:t>lo el 12,3 % de esos eventos severos ocurre en un bloque de 5 minutos que luego transita hacia un estado protector. La mayor parte de las veces, el sistema queda en zona de riesgo</w:t>
      </w:r>
      <w:r>
        <w:rPr>
          <w:rFonts w:asciiTheme="minorHAnsi" w:hAnsiTheme="minorHAnsi"/>
        </w:rPr>
        <w:t>;</w:t>
      </w:r>
      <w:r w:rsidRPr="007B0DF7">
        <w:rPr>
          <w:rFonts w:asciiTheme="minorHAnsi" w:hAnsiTheme="minorHAnsi"/>
        </w:rPr>
        <w:t xml:space="preserve"> </w:t>
      </w:r>
      <w:r>
        <w:rPr>
          <w:rFonts w:asciiTheme="minorHAnsi" w:hAnsiTheme="minorHAnsi"/>
        </w:rPr>
        <w:t>y</w:t>
      </w:r>
      <w:r w:rsidRPr="007B0DF7">
        <w:rPr>
          <w:rFonts w:asciiTheme="minorHAnsi" w:hAnsiTheme="minorHAnsi"/>
        </w:rPr>
        <w:t xml:space="preserve"> en la </w:t>
      </w:r>
      <w:r w:rsidRPr="007B0DF7">
        <w:rPr>
          <w:rFonts w:asciiTheme="minorHAnsi" w:hAnsiTheme="minorHAnsi"/>
          <w:b/>
          <w:bCs/>
        </w:rPr>
        <w:t>escala L</w:t>
      </w:r>
      <w:r w:rsidRPr="007B0DF7">
        <w:rPr>
          <w:rFonts w:asciiTheme="minorHAnsi" w:hAnsiTheme="minorHAnsi"/>
        </w:rPr>
        <w:t xml:space="preserve"> </w:t>
      </w:r>
      <w:r>
        <w:rPr>
          <w:rFonts w:asciiTheme="minorHAnsi" w:hAnsiTheme="minorHAnsi"/>
        </w:rPr>
        <w:t>(</w:t>
      </w:r>
      <w:r w:rsidRPr="007B0DF7">
        <w:rPr>
          <w:rFonts w:asciiTheme="minorHAnsi" w:hAnsiTheme="minorHAnsi"/>
        </w:rPr>
        <w:t>mirando la arquitectura de la noche en bloques de 30 minutos</w:t>
      </w:r>
      <w:r>
        <w:rPr>
          <w:rFonts w:asciiTheme="minorHAnsi" w:hAnsiTheme="minorHAnsi"/>
        </w:rPr>
        <w:t>)</w:t>
      </w:r>
      <w:r w:rsidRPr="007B0DF7">
        <w:rPr>
          <w:rFonts w:asciiTheme="minorHAnsi" w:hAnsiTheme="minorHAnsi"/>
        </w:rPr>
        <w:t xml:space="preserve"> la recuperación es prácticamente inexistente: apenas el 1,3 %.</w:t>
      </w:r>
    </w:p>
    <w:p w14:paraId="30842CDC" w14:textId="482BC71D" w:rsidR="007B0DF7" w:rsidRDefault="007B0DF7" w:rsidP="007B0DF7">
      <w:pPr>
        <w:pStyle w:val="font-claude-response-body"/>
        <w:spacing w:line="360" w:lineRule="auto"/>
        <w:jc w:val="both"/>
        <w:rPr>
          <w:rFonts w:asciiTheme="minorHAnsi" w:hAnsiTheme="minorHAnsi"/>
        </w:rPr>
      </w:pPr>
      <w:r w:rsidRPr="007B0DF7">
        <w:rPr>
          <w:rFonts w:asciiTheme="minorHAnsi" w:hAnsiTheme="minorHAnsi"/>
        </w:rPr>
        <w:t xml:space="preserve">¿Por qué ocurre esto? La dinámica Markoviana de la </w:t>
      </w:r>
      <w:r w:rsidRPr="007B0DF7">
        <w:rPr>
          <w:rFonts w:asciiTheme="minorHAnsi" w:hAnsiTheme="minorHAnsi"/>
          <w:b/>
          <w:bCs/>
        </w:rPr>
        <w:t>escala M</w:t>
      </w:r>
      <w:r w:rsidRPr="007B0DF7">
        <w:rPr>
          <w:rFonts w:asciiTheme="minorHAnsi" w:hAnsiTheme="minorHAnsi"/>
        </w:rPr>
        <w:t xml:space="preserve"> lo explica. </w:t>
      </w:r>
      <w:r w:rsidRPr="007B0DF7">
        <w:rPr>
          <w:rFonts w:asciiTheme="minorHAnsi" w:hAnsiTheme="minorHAnsi"/>
          <w:b/>
          <w:bCs/>
        </w:rPr>
        <w:t>M3</w:t>
      </w:r>
      <w:r w:rsidRPr="007B0DF7">
        <w:rPr>
          <w:rFonts w:asciiTheme="minorHAnsi" w:hAnsiTheme="minorHAnsi"/>
        </w:rPr>
        <w:t xml:space="preserve">, un estado de carga intermedia, actúa como antesala de </w:t>
      </w:r>
      <w:r w:rsidRPr="007B0DF7">
        <w:rPr>
          <w:rFonts w:asciiTheme="minorHAnsi" w:hAnsiTheme="minorHAnsi"/>
          <w:b/>
          <w:bCs/>
        </w:rPr>
        <w:t>M1</w:t>
      </w:r>
      <w:r w:rsidRPr="007B0DF7">
        <w:rPr>
          <w:rFonts w:asciiTheme="minorHAnsi" w:hAnsiTheme="minorHAnsi"/>
        </w:rPr>
        <w:t>: la transición M3→M1 es sistemática y conduce al estado de mayor riesgo del sistema (RR = 3,29). Una vez en M1, el sistema tiende a quedarse: M1 tiene la probabilidad de autotransición más alta de toda la escala M, lo que significa que en el próximo bloque de 5 minutos es más probable seguir en M1 que salir. Hay una puerta de entrada fácil y una salida difícil.</w:t>
      </w:r>
      <w:r>
        <w:rPr>
          <w:rFonts w:asciiTheme="minorHAnsi" w:hAnsiTheme="minorHAnsi"/>
        </w:rPr>
        <w:t xml:space="preserve"> </w:t>
      </w:r>
      <w:r w:rsidRPr="007B0DF7">
        <w:rPr>
          <w:rFonts w:asciiTheme="minorHAnsi" w:hAnsiTheme="minorHAnsi"/>
        </w:rPr>
        <w:t xml:space="preserve">Esa inercia es lo que, vista desde la </w:t>
      </w:r>
      <w:r w:rsidRPr="007B0DF7">
        <w:rPr>
          <w:rFonts w:asciiTheme="minorHAnsi" w:hAnsiTheme="minorHAnsi"/>
          <w:b/>
          <w:bCs/>
        </w:rPr>
        <w:t>escala L</w:t>
      </w:r>
      <w:r w:rsidRPr="007B0DF7">
        <w:rPr>
          <w:rFonts w:asciiTheme="minorHAnsi" w:hAnsiTheme="minorHAnsi"/>
        </w:rPr>
        <w:t>, se manifiesta como colapso de la resiliencia nocturna.</w:t>
      </w:r>
    </w:p>
    <w:p w14:paraId="3396C5EF" w14:textId="2B4CEFB0" w:rsidR="007B0DF7" w:rsidRDefault="007B0DF7" w:rsidP="00D639C0">
      <w:pPr>
        <w:spacing w:before="200" w:after="60" w:line="360" w:lineRule="auto"/>
      </w:pPr>
      <w:r>
        <w:t xml:space="preserve">La cadena de deterioro nocturno seguiría entonces el recorrido: </w:t>
      </w:r>
    </w:p>
    <w:p w14:paraId="7BCF371B" w14:textId="5211A74A" w:rsidR="007B0DF7" w:rsidRDefault="007B0DF7" w:rsidP="00D639C0">
      <w:pPr>
        <w:spacing w:before="200" w:after="60" w:line="360" w:lineRule="auto"/>
        <w:rPr>
          <w:rFonts w:asciiTheme="minorHAnsi" w:hAnsiTheme="minorHAnsi"/>
          <w:b/>
          <w:bCs/>
          <w:sz w:val="20"/>
          <w:szCs w:val="20"/>
        </w:rPr>
      </w:pPr>
      <w:r w:rsidRPr="007B0DF7">
        <w:rPr>
          <w:rFonts w:asciiTheme="minorHAnsi" w:hAnsiTheme="minorHAnsi"/>
          <w:b/>
          <w:bCs/>
          <w:sz w:val="20"/>
          <w:szCs w:val="20"/>
        </w:rPr>
        <w:drawing>
          <wp:inline distT="0" distB="0" distL="0" distR="0" wp14:anchorId="221B2842" wp14:editId="426DE370">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7"/>
                    <a:stretch>
                      <a:fillRect/>
                    </a:stretch>
                  </pic:blipFill>
                  <pic:spPr>
                    <a:xfrm>
                      <a:off x="0" y="0"/>
                      <a:ext cx="5999198" cy="1059606"/>
                    </a:xfrm>
                    <a:prstGeom prst="rect">
                      <a:avLst/>
                    </a:prstGeom>
                  </pic:spPr>
                </pic:pic>
              </a:graphicData>
            </a:graphic>
          </wp:inline>
        </w:drawing>
      </w:r>
    </w:p>
    <w:p w14:paraId="6585A931" w14:textId="7453C82E" w:rsidR="00A9687A" w:rsidRPr="00D639C0" w:rsidRDefault="00000000" w:rsidP="00D639C0">
      <w:pPr>
        <w:pStyle w:val="Ttulo2"/>
        <w:spacing w:line="360" w:lineRule="auto"/>
        <w:rPr>
          <w:rFonts w:asciiTheme="minorHAnsi" w:hAnsiTheme="minorHAnsi"/>
        </w:rPr>
      </w:pPr>
      <w:r w:rsidRPr="00D639C0">
        <w:rPr>
          <w:rFonts w:asciiTheme="minorHAnsi" w:hAnsiTheme="minorHAnsi"/>
        </w:rPr>
        <w:t xml:space="preserve">6.5  Fenotipos dinámicos nocturnos </w:t>
      </w:r>
    </w:p>
    <w:p w14:paraId="2FC831F1" w14:textId="77777777" w:rsidR="0075335A" w:rsidRDefault="007D62B0" w:rsidP="00D639C0">
      <w:pPr>
        <w:spacing w:after="200" w:line="360" w:lineRule="auto"/>
        <w:jc w:val="both"/>
        <w:rPr>
          <w:rFonts w:asciiTheme="minorHAnsi" w:hAnsiTheme="minorHAnsi"/>
        </w:rPr>
      </w:pPr>
      <w:r w:rsidRPr="007D62B0">
        <w:rPr>
          <w:rFonts w:asciiTheme="minorHAnsi" w:hAnsiTheme="minorHAnsi"/>
        </w:rPr>
        <w:t xml:space="preserve">K-means (K = 3) identificó tres fenotipos de trayectoria nocturna (Tabla 6.5). </w:t>
      </w:r>
    </w:p>
    <w:p w14:paraId="05A9C1EF" w14:textId="46416092" w:rsidR="0075335A" w:rsidRPr="00D639C0" w:rsidRDefault="0075335A" w:rsidP="0075335A">
      <w:pPr>
        <w:spacing w:before="200" w:after="60" w:line="360" w:lineRule="auto"/>
        <w:rPr>
          <w:rFonts w:asciiTheme="minorHAnsi" w:hAnsiTheme="minorHAnsi"/>
        </w:rPr>
      </w:pPr>
      <w:r w:rsidRPr="00D639C0">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74F29E2C" w14:textId="77777777" w:rsidTr="00E72CB4">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81B1C8" w14:textId="77777777" w:rsidR="0075335A" w:rsidRPr="00D639C0" w:rsidRDefault="0075335A" w:rsidP="00E72CB4">
            <w:pPr>
              <w:spacing w:line="360" w:lineRule="auto"/>
              <w:rPr>
                <w:rFonts w:asciiTheme="minorHAnsi" w:hAnsiTheme="minorHAnsi"/>
              </w:rPr>
            </w:pPr>
            <w:r w:rsidRPr="00D639C0">
              <w:rPr>
                <w:rFonts w:asciiTheme="minorHAnsi" w:hAnsiTheme="minorHAnsi"/>
                <w:b/>
                <w:bCs/>
                <w:sz w:val="20"/>
                <w:szCs w:val="20"/>
              </w:rPr>
              <w:lastRenderedPageBreak/>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8E3C31" w14:textId="77777777" w:rsidR="0075335A" w:rsidRPr="00D639C0" w:rsidRDefault="0075335A" w:rsidP="00E72CB4">
            <w:pPr>
              <w:spacing w:line="360" w:lineRule="auto"/>
              <w:rPr>
                <w:rFonts w:asciiTheme="minorHAnsi" w:hAnsiTheme="minorHAnsi"/>
              </w:rPr>
            </w:pPr>
            <w:r w:rsidRPr="00D639C0">
              <w:rPr>
                <w:rFonts w:asciiTheme="minorHAnsi" w:hAnsiTheme="minorHAnsi"/>
                <w:b/>
                <w:bCs/>
                <w:sz w:val="20"/>
                <w:szCs w:val="20"/>
              </w:rPr>
              <w:t>Frac. M1</w:t>
            </w:r>
            <w:r>
              <w:rPr>
                <w:rFonts w:asciiTheme="minorHAnsi" w:hAnsiTheme="minorHAnsi"/>
                <w:b/>
                <w:bCs/>
                <w:sz w:val="20"/>
                <w:szCs w:val="20"/>
              </w:rPr>
              <w:t xml:space="preserve">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A80B47" w14:textId="77777777" w:rsidR="0075335A" w:rsidRPr="00D639C0" w:rsidRDefault="0075335A" w:rsidP="00E72CB4">
            <w:pPr>
              <w:spacing w:line="360" w:lineRule="auto"/>
              <w:rPr>
                <w:rFonts w:asciiTheme="minorHAnsi" w:hAnsiTheme="minorHAnsi"/>
              </w:rPr>
            </w:pPr>
            <w:r w:rsidRPr="00D639C0">
              <w:rPr>
                <w:rFonts w:asciiTheme="minorHAnsi" w:hAnsiTheme="minorHAnsi"/>
                <w:b/>
                <w:bCs/>
                <w:sz w:val="20"/>
                <w:szCs w:val="20"/>
              </w:rPr>
              <w:t>Frac. M3</w:t>
            </w:r>
            <w:r>
              <w:rPr>
                <w:rFonts w:asciiTheme="minorHAnsi" w:hAnsiTheme="minorHAnsi"/>
                <w:b/>
                <w:bCs/>
                <w:sz w:val="20"/>
                <w:szCs w:val="20"/>
              </w:rPr>
              <w:t xml:space="preserve">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C576C9" w14:textId="77777777" w:rsidR="0075335A" w:rsidRPr="00D639C0" w:rsidRDefault="0075335A" w:rsidP="00E72CB4">
            <w:pPr>
              <w:spacing w:line="360" w:lineRule="auto"/>
              <w:rPr>
                <w:rFonts w:asciiTheme="minorHAnsi" w:hAnsiTheme="minorHAnsi"/>
              </w:rPr>
            </w:pPr>
            <w:r w:rsidRPr="00D639C0">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6AEE9D" w14:textId="77777777" w:rsidR="0075335A" w:rsidRPr="00D639C0" w:rsidRDefault="0075335A" w:rsidP="00E72CB4">
            <w:pPr>
              <w:spacing w:line="360" w:lineRule="auto"/>
              <w:rPr>
                <w:rFonts w:asciiTheme="minorHAnsi" w:hAnsiTheme="minorHAnsi"/>
              </w:rPr>
            </w:pPr>
            <w:r w:rsidRPr="00D639C0">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50BE9A" w14:textId="77777777" w:rsidR="0075335A" w:rsidRPr="00D639C0" w:rsidRDefault="0075335A" w:rsidP="00E72CB4">
            <w:pPr>
              <w:spacing w:line="360" w:lineRule="auto"/>
              <w:rPr>
                <w:rFonts w:asciiTheme="minorHAnsi" w:hAnsiTheme="minorHAnsi"/>
              </w:rPr>
            </w:pPr>
            <w:r w:rsidRPr="00D639C0">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ACCAF2" w14:textId="77777777" w:rsidR="0075335A" w:rsidRPr="00D639C0" w:rsidRDefault="0075335A" w:rsidP="00E72CB4">
            <w:pPr>
              <w:spacing w:line="360" w:lineRule="auto"/>
              <w:rPr>
                <w:rFonts w:asciiTheme="minorHAnsi" w:hAnsiTheme="minorHAnsi"/>
              </w:rPr>
            </w:pPr>
            <w:r w:rsidRPr="00D639C0">
              <w:rPr>
                <w:rFonts w:asciiTheme="minorHAnsi" w:hAnsiTheme="minorHAnsi"/>
                <w:b/>
                <w:bCs/>
                <w:sz w:val="20"/>
                <w:szCs w:val="20"/>
              </w:rPr>
              <w:t>Entropía M</w:t>
            </w:r>
          </w:p>
        </w:tc>
      </w:tr>
      <w:tr w:rsidR="0075335A" w:rsidRPr="00D639C0" w14:paraId="48E9D3CD" w14:textId="77777777" w:rsidTr="00E72CB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AEC5B"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A27F7"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BFE75"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D8C2C"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73A44"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32B14"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87914"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1,519</w:t>
            </w:r>
          </w:p>
        </w:tc>
      </w:tr>
      <w:tr w:rsidR="0075335A" w:rsidRPr="00D639C0" w14:paraId="36F36F81" w14:textId="77777777" w:rsidTr="00E72CB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F29A7"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DBEC4"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C298B"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25FCA"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74E5"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E249E"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FC0C8"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1,933</w:t>
            </w:r>
          </w:p>
        </w:tc>
      </w:tr>
      <w:tr w:rsidR="0075335A" w:rsidRPr="00D639C0" w14:paraId="6525B214" w14:textId="77777777" w:rsidTr="00E72CB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98034"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82AA6"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90163"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72022"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8AB24"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A6869"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43FF0" w14:textId="77777777" w:rsidR="0075335A" w:rsidRPr="00D639C0" w:rsidRDefault="0075335A" w:rsidP="00E72CB4">
            <w:pPr>
              <w:spacing w:line="360" w:lineRule="auto"/>
              <w:rPr>
                <w:rFonts w:asciiTheme="minorHAnsi" w:hAnsiTheme="minorHAnsi"/>
              </w:rPr>
            </w:pPr>
            <w:r w:rsidRPr="00D639C0">
              <w:rPr>
                <w:rFonts w:asciiTheme="minorHAnsi" w:hAnsiTheme="minorHAnsi"/>
                <w:sz w:val="20"/>
                <w:szCs w:val="20"/>
              </w:rPr>
              <w:t>1,122</w:t>
            </w:r>
          </w:p>
        </w:tc>
      </w:tr>
    </w:tbl>
    <w:p w14:paraId="20AE7935" w14:textId="7F6C8CE2" w:rsidR="0075335A" w:rsidRDefault="0075335A" w:rsidP="0075335A">
      <w:pPr>
        <w:spacing w:after="100" w:line="360" w:lineRule="auto"/>
        <w:jc w:val="both"/>
        <w:rPr>
          <w:rFonts w:asciiTheme="minorHAnsi" w:hAnsiTheme="minorHAnsi"/>
        </w:rPr>
      </w:pPr>
      <w:r w:rsidRPr="00D639C0">
        <w:rPr>
          <w:rFonts w:asciiTheme="minorHAnsi" w:hAnsiTheme="minorHAnsi"/>
          <w:i/>
          <w:iCs/>
          <w:sz w:val="20"/>
          <w:szCs w:val="20"/>
        </w:rPr>
        <w:t xml:space="preserve">Nota. K-means sobre PCA de 7 features nocturnas. </w:t>
      </w:r>
    </w:p>
    <w:p w14:paraId="143697EA" w14:textId="200F20DD" w:rsidR="007C078B" w:rsidRPr="007C078B" w:rsidRDefault="007C078B" w:rsidP="007C078B">
      <w:pPr>
        <w:pStyle w:val="font-claude-response-body"/>
        <w:spacing w:line="360" w:lineRule="auto"/>
        <w:jc w:val="both"/>
        <w:rPr>
          <w:rFonts w:asciiTheme="minorHAnsi" w:hAnsiTheme="minorHAnsi"/>
        </w:rPr>
      </w:pPr>
      <w:r>
        <w:rPr>
          <w:rFonts w:asciiTheme="minorHAnsi" w:hAnsiTheme="minorHAnsi"/>
        </w:rPr>
        <w:t xml:space="preserve">La </w:t>
      </w:r>
      <w:r w:rsidRPr="007C078B">
        <w:rPr>
          <w:rFonts w:asciiTheme="minorHAnsi" w:hAnsiTheme="minorHAnsi"/>
        </w:rPr>
        <w:t xml:space="preserve">tabla </w:t>
      </w:r>
      <w:r>
        <w:rPr>
          <w:rFonts w:asciiTheme="minorHAnsi" w:hAnsiTheme="minorHAnsi"/>
        </w:rPr>
        <w:t xml:space="preserve">6.5 </w:t>
      </w:r>
      <w:r w:rsidRPr="007C078B">
        <w:rPr>
          <w:rFonts w:asciiTheme="minorHAnsi" w:hAnsiTheme="minorHAnsi"/>
        </w:rPr>
        <w:t>muestra seis características para cada fenotipo. Las dos primeras</w:t>
      </w:r>
      <w:r>
        <w:rPr>
          <w:rFonts w:asciiTheme="minorHAnsi" w:hAnsiTheme="minorHAnsi"/>
        </w:rPr>
        <w:t>,</w:t>
      </w:r>
      <w:r w:rsidRPr="007C078B">
        <w:rPr>
          <w:rFonts w:asciiTheme="minorHAnsi" w:hAnsiTheme="minorHAnsi"/>
        </w:rPr>
        <w:t xml:space="preserve"> </w:t>
      </w:r>
      <w:r w:rsidRPr="007C078B">
        <w:rPr>
          <w:rFonts w:asciiTheme="minorHAnsi" w:hAnsiTheme="minorHAnsi"/>
        </w:rPr>
        <w:t>fracción de tiempo en M1 (severo) y M3 (antesala)</w:t>
      </w:r>
      <w:r>
        <w:rPr>
          <w:rFonts w:asciiTheme="minorHAnsi" w:hAnsiTheme="minorHAnsi"/>
        </w:rPr>
        <w:t>,</w:t>
      </w:r>
      <w:r w:rsidRPr="007C078B">
        <w:rPr>
          <w:rFonts w:asciiTheme="minorHAnsi" w:hAnsiTheme="minorHAnsi"/>
        </w:rPr>
        <w:t xml:space="preserve"> indican cuánto de la noche transcurrió en cada estado: una noche </w:t>
      </w:r>
      <w:r>
        <w:rPr>
          <w:rFonts w:asciiTheme="minorHAnsi" w:hAnsiTheme="minorHAnsi"/>
        </w:rPr>
        <w:t>con ca</w:t>
      </w:r>
      <w:r w:rsidR="00076435">
        <w:rPr>
          <w:rFonts w:asciiTheme="minorHAnsi" w:hAnsiTheme="minorHAnsi"/>
        </w:rPr>
        <w:t>r</w:t>
      </w:r>
      <w:r>
        <w:rPr>
          <w:rFonts w:asciiTheme="minorHAnsi" w:hAnsiTheme="minorHAnsi"/>
        </w:rPr>
        <w:t>ga hipóxica alta (</w:t>
      </w:r>
      <w:r w:rsidRPr="007C078B">
        <w:rPr>
          <w:rFonts w:asciiTheme="minorHAnsi" w:hAnsiTheme="minorHAnsi"/>
          <w:b/>
          <w:bCs/>
        </w:rPr>
        <w:t>CHA</w:t>
      </w:r>
      <w:r>
        <w:rPr>
          <w:rFonts w:asciiTheme="minorHAnsi" w:hAnsiTheme="minorHAnsi"/>
          <w:b/>
          <w:bCs/>
        </w:rPr>
        <w:t>)</w:t>
      </w:r>
      <w:r w:rsidRPr="007C078B">
        <w:rPr>
          <w:rFonts w:asciiTheme="minorHAnsi" w:hAnsiTheme="minorHAnsi"/>
        </w:rPr>
        <w:t xml:space="preserve"> pasa el 78,1 % en M1, mientras que una Estable-Protector apenas el 2,5 %. El porcentaje de eventos severos muestra que en CHA casi 4 de cada 10 eventos son C4 o C5</w:t>
      </w:r>
      <w:r>
        <w:rPr>
          <w:rFonts w:asciiTheme="minorHAnsi" w:hAnsiTheme="minorHAnsi"/>
        </w:rPr>
        <w:t xml:space="preserve"> (morfotipo de evento)</w:t>
      </w:r>
      <w:r w:rsidRPr="007C078B">
        <w:rPr>
          <w:rFonts w:asciiTheme="minorHAnsi" w:hAnsiTheme="minorHAnsi"/>
        </w:rPr>
        <w:t>, frente a 3 de cada 100 en Estable-Protector. El ARI mediano refleja la reactividad autonómica promedio de la noche. Las transiciones M cuentan cuántas veces el sistema cambió de estado durante la noche: CHA registra solo 6, frente a las 43 de Carga Intermedia</w:t>
      </w:r>
      <w:r w:rsidR="00076435">
        <w:rPr>
          <w:rFonts w:asciiTheme="minorHAnsi" w:hAnsiTheme="minorHAnsi"/>
        </w:rPr>
        <w:t>;</w:t>
      </w:r>
      <w:r w:rsidRPr="007C078B">
        <w:rPr>
          <w:rFonts w:asciiTheme="minorHAnsi" w:hAnsiTheme="minorHAnsi"/>
        </w:rPr>
        <w:t xml:space="preserve"> entra en M1 y prácticamente no sale. La entropía M mide cuán distribuido estuvo el tiempo entre los distintos estados: baja entropía significa que un estado dominó la noche; alta entropía, que la noche alternó entre varios. En CHA ambas métricas convergen: pocas transiciones y baja entropía confirman que la noche fue monótonamente severa, no un conjunto de episodios aislados.</w:t>
      </w:r>
    </w:p>
    <w:p w14:paraId="53B8A7CC" w14:textId="39486C48" w:rsidR="00A9687A" w:rsidRPr="00D639C0" w:rsidRDefault="007D62B0" w:rsidP="00D639C0">
      <w:pPr>
        <w:spacing w:after="200" w:line="360" w:lineRule="auto"/>
        <w:jc w:val="both"/>
        <w:rPr>
          <w:rFonts w:asciiTheme="minorHAnsi" w:hAnsiTheme="minorHAnsi"/>
        </w:rPr>
      </w:pPr>
      <w:r w:rsidRPr="007D62B0">
        <w:rPr>
          <w:rFonts w:asciiTheme="minorHAnsi" w:hAnsiTheme="minorHAnsi"/>
        </w:rPr>
        <w:t xml:space="preserve">El hallazgo clave es que </w:t>
      </w:r>
      <w:r w:rsidR="00076435">
        <w:rPr>
          <w:rFonts w:asciiTheme="minorHAnsi" w:hAnsiTheme="minorHAnsi"/>
        </w:rPr>
        <w:t>CHA,</w:t>
      </w:r>
      <w:r w:rsidRPr="007D62B0">
        <w:rPr>
          <w:rFonts w:asciiTheme="minorHAnsi" w:hAnsiTheme="minorHAnsi"/>
        </w:rPr>
        <w:t xml:space="preserve"> dominado por el estado M1 (78,1 %) con ARI mediano de 0,284</w:t>
      </w:r>
      <w:r>
        <w:rPr>
          <w:rFonts w:asciiTheme="minorHAnsi" w:hAnsiTheme="minorHAnsi"/>
        </w:rPr>
        <w:t>,</w:t>
      </w:r>
      <w:r w:rsidRPr="007D62B0">
        <w:rPr>
          <w:rFonts w:asciiTheme="minorHAnsi" w:hAnsiTheme="minorHAnsi"/>
        </w:rPr>
        <w:t xml:space="preserve"> aparece</w:t>
      </w:r>
      <w:r w:rsidRPr="005E7823">
        <w:rPr>
          <w:rFonts w:asciiTheme="minorHAnsi" w:hAnsiTheme="minorHAnsi"/>
        </w:rPr>
        <w:t xml:space="preserve"> </w:t>
      </w:r>
      <w:r w:rsidR="005E7823" w:rsidRPr="005E7823">
        <w:rPr>
          <w:rFonts w:asciiTheme="minorHAnsi" w:hAnsiTheme="minorHAnsi"/>
        </w:rPr>
        <w:t>predominantemente</w:t>
      </w:r>
      <w:r w:rsidR="005E7823" w:rsidRPr="005E7823">
        <w:rPr>
          <w:rFonts w:asciiTheme="minorHAnsi" w:hAnsiTheme="minorHAnsi"/>
        </w:rPr>
        <w:t xml:space="preserve"> </w:t>
      </w:r>
      <w:r w:rsidRPr="007D62B0">
        <w:rPr>
          <w:rFonts w:asciiTheme="minorHAnsi" w:hAnsiTheme="minorHAnsi"/>
        </w:rPr>
        <w:t>en pacientes con severidad AASM Moderada</w:t>
      </w:r>
      <w:r w:rsidR="005E7823">
        <w:rPr>
          <w:rFonts w:asciiTheme="minorHAnsi" w:hAnsiTheme="minorHAnsi"/>
        </w:rPr>
        <w:t>,</w:t>
      </w:r>
      <w:r w:rsidR="00000000" w:rsidRPr="007D62B0">
        <w:rPr>
          <w:rFonts w:asciiTheme="minorHAnsi" w:hAnsiTheme="minorHAnsi"/>
        </w:rPr>
        <w:t xml:space="preserve"> evidenciando</w:t>
      </w:r>
      <w:r w:rsidR="00000000" w:rsidRPr="00D639C0">
        <w:rPr>
          <w:rFonts w:asciiTheme="minorHAnsi" w:hAnsiTheme="minorHAnsi"/>
        </w:rPr>
        <w:t xml:space="preserve"> discordancia entre índice de frecuencia y fenotipo dinámico. Un paciente AASM Moderado con fenotipo CHA presenta un perfil de riesgo nocturno cualitativamente diferente al de otro con el mismo ODI3 pero fenotipo Estable-Protector: la carga hipóxica reside en la dominancia sostenida del estado M1, un matiz que el conteo de eventos no captura. </w:t>
      </w:r>
      <w:r>
        <w:rPr>
          <w:rFonts w:asciiTheme="minorHAnsi" w:hAnsiTheme="minorHAnsi"/>
        </w:rPr>
        <w:t>E</w:t>
      </w:r>
      <w:r w:rsidR="00000000" w:rsidRPr="00D639C0">
        <w:rPr>
          <w:rFonts w:asciiTheme="minorHAnsi" w:hAnsiTheme="minorHAnsi"/>
        </w:rPr>
        <w:t>l ARI es prácticamente invariante entre fenotipos (diferencia máxima &lt; 0,25 entre extremos), confirmando su independencia respecto a la arquitectura de severidad dinámica.</w:t>
      </w:r>
    </w:p>
    <w:p w14:paraId="46CE856A" w14:textId="77777777" w:rsidR="002F7285" w:rsidRPr="002F7285" w:rsidRDefault="002F7285" w:rsidP="002F7285">
      <w:pPr>
        <w:pStyle w:val="Ttulo2"/>
      </w:pPr>
      <w:r w:rsidRPr="002F7285">
        <w:lastRenderedPageBreak/>
        <w:t>6.6 Importancia predictiva de las features PAC: ablación LOPO-CV</w:t>
      </w:r>
    </w:p>
    <w:p w14:paraId="7BE100AE" w14:textId="715F6334" w:rsidR="002F7285" w:rsidRPr="002F7285" w:rsidRDefault="002F7285" w:rsidP="002F7285">
      <w:pPr>
        <w:pStyle w:val="NormalWeb"/>
        <w:spacing w:line="360" w:lineRule="auto"/>
        <w:jc w:val="both"/>
        <w:rPr>
          <w:rFonts w:asciiTheme="minorHAnsi" w:hAnsiTheme="minorHAnsi"/>
        </w:rPr>
      </w:pPr>
      <w:r w:rsidRPr="002F7285">
        <w:rPr>
          <w:rFonts w:asciiTheme="minorHAnsi" w:hAnsiTheme="minorHAnsi"/>
        </w:rPr>
        <w:t xml:space="preserve">El estudio de ablación LOPO-CV </w:t>
      </w:r>
      <w:r w:rsidR="004C3724">
        <w:rPr>
          <w:rFonts w:asciiTheme="minorHAnsi" w:hAnsiTheme="minorHAnsi"/>
        </w:rPr>
        <w:t>(</w:t>
      </w:r>
      <w:r w:rsidR="004C3724" w:rsidRPr="004C3724">
        <w:rPr>
          <w:rFonts w:asciiTheme="minorHAnsi" w:hAnsiTheme="minorHAnsi"/>
        </w:rPr>
        <w:t>validación cruzada por paciente</w:t>
      </w:r>
      <w:r w:rsidR="004C3724">
        <w:rPr>
          <w:rFonts w:asciiTheme="minorHAnsi" w:hAnsiTheme="minorHAnsi"/>
        </w:rPr>
        <w:t xml:space="preserve">) </w:t>
      </w:r>
      <w:r w:rsidRPr="002F7285">
        <w:rPr>
          <w:rFonts w:asciiTheme="minorHAnsi" w:hAnsiTheme="minorHAnsi"/>
        </w:rPr>
        <w:t>cuantifica la contribución predictiva de cada grupo de variables mediante un Random Forest aplicado a la clasificación multiclase de cuatro categorías AASM sobre 540 noches.</w:t>
      </w:r>
    </w:p>
    <w:p w14:paraId="01E416DD" w14:textId="550F5DEB" w:rsidR="002F7285" w:rsidRPr="002F7285" w:rsidRDefault="002F7285" w:rsidP="002F7285">
      <w:pPr>
        <w:pStyle w:val="NormalWeb"/>
        <w:spacing w:line="360" w:lineRule="auto"/>
        <w:jc w:val="both"/>
        <w:rPr>
          <w:rFonts w:asciiTheme="minorHAnsi" w:hAnsiTheme="minorHAnsi"/>
        </w:rPr>
      </w:pPr>
      <w:r w:rsidRPr="002F7285">
        <w:rPr>
          <w:rFonts w:asciiTheme="minorHAnsi" w:hAnsiTheme="minorHAnsi"/>
        </w:rPr>
        <w:t xml:space="preserve">Los estados PAC concentran el 44,8 % de la importancia Gini total, seguidos por los morfotipos (20,6 %) y la dinámica PAC (14,7 %). El modelo basado exclusivamente en </w:t>
      </w:r>
      <w:r>
        <w:rPr>
          <w:rFonts w:asciiTheme="minorHAnsi" w:hAnsiTheme="minorHAnsi"/>
        </w:rPr>
        <w:t xml:space="preserve">estados </w:t>
      </w:r>
      <w:r w:rsidRPr="002F7285">
        <w:rPr>
          <w:rFonts w:asciiTheme="minorHAnsi" w:hAnsiTheme="minorHAnsi"/>
        </w:rPr>
        <w:t xml:space="preserve">PAC y dinámica PAC alcanza una </w:t>
      </w:r>
      <w:r w:rsidRPr="002F7285">
        <w:rPr>
          <w:rStyle w:val="nfasis"/>
          <w:rFonts w:asciiTheme="minorHAnsi" w:hAnsiTheme="minorHAnsi"/>
        </w:rPr>
        <w:t>balanced accuracy</w:t>
      </w:r>
      <w:r w:rsidRPr="002F7285">
        <w:rPr>
          <w:rFonts w:asciiTheme="minorHAnsi" w:hAnsiTheme="minorHAnsi"/>
        </w:rPr>
        <w:t xml:space="preserve"> de 0,521 ± 0,218, superando al modelo basado en índices clínicos convencionales (ODI3, T90, HB₃; 0,354 ± 0,294) y confirmando el valor predictivo autónomo de las representaciones PAC. El modelo basado exclusivamente en el ARI obtiene la </w:t>
      </w:r>
      <w:r w:rsidRPr="002F7285">
        <w:rPr>
          <w:rStyle w:val="nfasis"/>
          <w:rFonts w:asciiTheme="minorHAnsi" w:hAnsiTheme="minorHAnsi"/>
        </w:rPr>
        <w:t>balanced accuracy</w:t>
      </w:r>
      <w:r w:rsidRPr="002F7285">
        <w:rPr>
          <w:rFonts w:asciiTheme="minorHAnsi" w:hAnsiTheme="minorHAnsi"/>
        </w:rPr>
        <w:t xml:space="preserve"> más baja (0,281 ± 0,150), coherente con su ortogonalidad respecto a la severidad: el ARI mide una dimensión fisiológica distinta de la categoría AASM, no un predictor lineal de ella.</w:t>
      </w:r>
    </w:p>
    <w:p w14:paraId="4B0FD2C4" w14:textId="77777777" w:rsidR="00A9687A" w:rsidRPr="00D639C0" w:rsidRDefault="00000000" w:rsidP="00D639C0">
      <w:pPr>
        <w:spacing w:before="200" w:after="60" w:line="360" w:lineRule="auto"/>
        <w:rPr>
          <w:rFonts w:asciiTheme="minorHAnsi" w:hAnsiTheme="minorHAnsi"/>
        </w:rPr>
      </w:pPr>
      <w:r w:rsidRPr="00D639C0">
        <w:rPr>
          <w:rFonts w:asciiTheme="minorHAnsi" w:hAnsiTheme="minorHAnsi"/>
          <w:b/>
          <w:bCs/>
          <w:sz w:val="20"/>
          <w:szCs w:val="20"/>
        </w:rPr>
        <w:t>Tabla 6.6. Importancia relativa de grupos de features — Random Forest, ablación LOPO-CV (NB06).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A9687A" w:rsidRPr="00D639C0" w14:paraId="2446414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157867"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B8E109"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9DD309"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B5E605"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 sobre total</w:t>
            </w:r>
          </w:p>
        </w:tc>
      </w:tr>
      <w:tr w:rsidR="00A9687A" w:rsidRPr="00D639C0" w14:paraId="52DC44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33D8D"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D0E42"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8D11E"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4F40"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44,8 %</w:t>
            </w:r>
          </w:p>
        </w:tc>
      </w:tr>
      <w:tr w:rsidR="00A9687A" w:rsidRPr="00D639C0" w14:paraId="7B42BB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C5F61"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40A0A"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220DC"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38218"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20,6 %</w:t>
            </w:r>
          </w:p>
        </w:tc>
      </w:tr>
      <w:tr w:rsidR="00A9687A" w:rsidRPr="00D639C0" w14:paraId="42FE86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90225"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418B0"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3EA35"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CDE06"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14,7 %</w:t>
            </w:r>
          </w:p>
        </w:tc>
      </w:tr>
      <w:tr w:rsidR="00A9687A" w:rsidRPr="00D639C0" w14:paraId="259032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DC802"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ECAE5"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A88AF"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A8515"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10,2 %</w:t>
            </w:r>
          </w:p>
        </w:tc>
      </w:tr>
      <w:tr w:rsidR="00A9687A" w:rsidRPr="00D639C0" w14:paraId="28D609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E10FF"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EDED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73CD7"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5C512"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6,8 %</w:t>
            </w:r>
          </w:p>
        </w:tc>
      </w:tr>
      <w:tr w:rsidR="00A9687A" w:rsidRPr="00D639C0" w14:paraId="103B21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8262F"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D9E0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390C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5611B"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3,4 %</w:t>
            </w:r>
          </w:p>
        </w:tc>
      </w:tr>
    </w:tbl>
    <w:p w14:paraId="4784CDC9" w14:textId="77777777" w:rsidR="00A9687A" w:rsidRPr="00D639C0" w:rsidRDefault="00000000" w:rsidP="00D639C0">
      <w:pPr>
        <w:spacing w:after="100" w:line="360" w:lineRule="auto"/>
        <w:jc w:val="both"/>
        <w:rPr>
          <w:rFonts w:asciiTheme="minorHAnsi" w:hAnsiTheme="minorHAnsi"/>
        </w:rPr>
      </w:pPr>
      <w:r w:rsidRPr="00D639C0">
        <w:rPr>
          <w:rFonts w:asciiTheme="minorHAnsi" w:hAnsiTheme="minorHAnsi"/>
          <w:i/>
          <w:iCs/>
          <w:sz w:val="20"/>
          <w:szCs w:val="20"/>
        </w:rPr>
        <w:t>Nota. Importancia Gini promediada sobre 8 folds LOPO-CV. 540 noches, 8 pacientes.</w:t>
      </w:r>
    </w:p>
    <w:p w14:paraId="4CD784BD" w14:textId="1D88BD22" w:rsidR="00A9687A" w:rsidRPr="00D639C0" w:rsidRDefault="00000000" w:rsidP="00D639C0">
      <w:pPr>
        <w:pStyle w:val="Ttulo2"/>
        <w:spacing w:line="360" w:lineRule="auto"/>
        <w:rPr>
          <w:rFonts w:asciiTheme="minorHAnsi" w:hAnsiTheme="minorHAnsi"/>
        </w:rPr>
      </w:pPr>
      <w:r w:rsidRPr="00D639C0">
        <w:rPr>
          <w:rFonts w:asciiTheme="minorHAnsi" w:hAnsiTheme="minorHAnsi"/>
        </w:rPr>
        <w:t>6.7  Modelo predictivo a nivel de evento</w:t>
      </w:r>
    </w:p>
    <w:p w14:paraId="683663F4" w14:textId="502D61EF" w:rsidR="004C3724" w:rsidRDefault="004C3724" w:rsidP="00D639C0">
      <w:pPr>
        <w:spacing w:after="200" w:line="360" w:lineRule="auto"/>
        <w:jc w:val="both"/>
      </w:pPr>
      <w:r w:rsidRPr="004C3724">
        <w:rPr>
          <w:rFonts w:asciiTheme="minorHAnsi" w:hAnsiTheme="minorHAnsi"/>
        </w:rPr>
        <w:t xml:space="preserve">El modelo de predicción de evento severo estima la probabilidad de que un EDO individual sea morfológicamente severo (C4 o C5). Para hacerlo, no mira el evento en sí sino lo que ocurrió antes: acumula información de los eventos previos de la noche </w:t>
      </w:r>
      <w:r w:rsidRPr="004C3724">
        <w:rPr>
          <w:rFonts w:asciiTheme="minorHAnsi" w:hAnsiTheme="minorHAnsi"/>
        </w:rPr>
        <w:lastRenderedPageBreak/>
        <w:t xml:space="preserve">y del estado PAC activo en una ventana de aproximadamente 5 minutos </w:t>
      </w:r>
      <w:r>
        <w:rPr>
          <w:rFonts w:asciiTheme="minorHAnsi" w:hAnsiTheme="minorHAnsi"/>
        </w:rPr>
        <w:t>(</w:t>
      </w:r>
      <w:r w:rsidRPr="004C3724">
        <w:rPr>
          <w:rFonts w:asciiTheme="minorHAnsi" w:hAnsiTheme="minorHAnsi"/>
        </w:rPr>
        <w:t>el horizonte temporal equivalente a la escala M</w:t>
      </w:r>
      <w:r>
        <w:rPr>
          <w:rFonts w:asciiTheme="minorHAnsi" w:hAnsiTheme="minorHAnsi"/>
        </w:rPr>
        <w:t>)</w:t>
      </w:r>
      <w:r w:rsidRPr="004C3724">
        <w:rPr>
          <w:rFonts w:asciiTheme="minorHAnsi" w:hAnsiTheme="minorHAnsi"/>
        </w:rPr>
        <w:t xml:space="preserve"> y con eso estima el riesgo del próximo evento.</w:t>
      </w:r>
    </w:p>
    <w:p w14:paraId="34C9C444" w14:textId="10CE259A" w:rsidR="004C3724" w:rsidRDefault="00000000" w:rsidP="004C3724">
      <w:pPr>
        <w:spacing w:after="200" w:line="360" w:lineRule="auto"/>
        <w:jc w:val="both"/>
        <w:rPr>
          <w:rFonts w:asciiTheme="minorHAnsi" w:hAnsiTheme="minorHAnsi"/>
        </w:rPr>
      </w:pPr>
      <w:r w:rsidRPr="00D639C0">
        <w:rPr>
          <w:rFonts w:asciiTheme="minorHAnsi" w:hAnsiTheme="minorHAnsi"/>
        </w:rPr>
        <w:t xml:space="preserve">Sobre 76.053 eventos (prevalencia de clase positiva: 5,57 %), el LightGBM mejoró sustancialmente sobre la regresión logística basal: AUC = 0,878 vs. 0,743; AP = 0,240 vs. 0,164 (Tabla 6.7). El rango de AUC entre folds (0,798–0,964) indica consistencia entre pacientes. Las features más predictivas son los contextos acumulados: </w:t>
      </w:r>
      <w:r w:rsidRPr="004C3724">
        <w:rPr>
          <w:rFonts w:asciiTheme="minorHAnsi" w:hAnsiTheme="minorHAnsi"/>
          <w:i/>
          <w:iCs/>
        </w:rPr>
        <w:t>event_position</w:t>
      </w:r>
      <w:r w:rsidRPr="00D639C0">
        <w:rPr>
          <w:rFonts w:asciiTheme="minorHAnsi" w:hAnsiTheme="minorHAnsi"/>
        </w:rPr>
        <w:t xml:space="preserve"> (posición en la noche), </w:t>
      </w:r>
      <w:r w:rsidRPr="004C3724">
        <w:rPr>
          <w:rFonts w:asciiTheme="minorHAnsi" w:hAnsiTheme="minorHAnsi"/>
          <w:i/>
          <w:iCs/>
        </w:rPr>
        <w:t>recent_morph_mean</w:t>
      </w:r>
      <w:r w:rsidRPr="00D639C0">
        <w:rPr>
          <w:rFonts w:asciiTheme="minorHAnsi" w:hAnsiTheme="minorHAnsi"/>
        </w:rPr>
        <w:t xml:space="preserve"> (morfotipos recientes), </w:t>
      </w:r>
      <w:r w:rsidRPr="004C3724">
        <w:rPr>
          <w:rFonts w:asciiTheme="minorHAnsi" w:hAnsiTheme="minorHAnsi"/>
          <w:i/>
          <w:iCs/>
        </w:rPr>
        <w:t>ci_so_far</w:t>
      </w:r>
      <w:r w:rsidRPr="00D639C0">
        <w:rPr>
          <w:rFonts w:asciiTheme="minorHAnsi" w:hAnsiTheme="minorHAnsi"/>
        </w:rPr>
        <w:t xml:space="preserve"> (acoplamiento acumulado) y </w:t>
      </w:r>
      <w:r w:rsidRPr="004C3724">
        <w:rPr>
          <w:rFonts w:asciiTheme="minorHAnsi" w:hAnsiTheme="minorHAnsi"/>
          <w:i/>
          <w:iCs/>
        </w:rPr>
        <w:t>state_s_enc</w:t>
      </w:r>
      <w:r w:rsidRPr="00D639C0">
        <w:rPr>
          <w:rFonts w:asciiTheme="minorHAnsi" w:hAnsiTheme="minorHAnsi"/>
        </w:rPr>
        <w:t xml:space="preserve"> (estado S activo): </w:t>
      </w:r>
      <w:r w:rsidR="004C3724" w:rsidRPr="004C3724">
        <w:rPr>
          <w:rFonts w:asciiTheme="minorHAnsi" w:hAnsiTheme="minorHAnsi"/>
        </w:rPr>
        <w:t>e</w:t>
      </w:r>
      <w:r w:rsidR="004C3724" w:rsidRPr="004C3724">
        <w:rPr>
          <w:rFonts w:asciiTheme="minorHAnsi" w:hAnsiTheme="minorHAnsi"/>
        </w:rPr>
        <w:t>l riesgo de evento severo se lee como acumulación progresiva de deterioro dentro de la noche. Cuando el modelo asigna probabilidades altas a eventos que morfológicamente parecen leves (C1 o C2), no hay contradicción: el contexto fisiológico activo</w:t>
      </w:r>
      <w:r w:rsidR="004C3724">
        <w:rPr>
          <w:rFonts w:asciiTheme="minorHAnsi" w:hAnsiTheme="minorHAnsi"/>
        </w:rPr>
        <w:t xml:space="preserve"> (</w:t>
      </w:r>
      <w:r w:rsidR="004C3724" w:rsidRPr="004C3724">
        <w:rPr>
          <w:rFonts w:asciiTheme="minorHAnsi" w:hAnsiTheme="minorHAnsi"/>
        </w:rPr>
        <w:t>el estado PAC</w:t>
      </w:r>
      <w:r w:rsidR="004C3724">
        <w:rPr>
          <w:rFonts w:asciiTheme="minorHAnsi" w:hAnsiTheme="minorHAnsi"/>
        </w:rPr>
        <w:t>)</w:t>
      </w:r>
      <w:r w:rsidR="004C3724" w:rsidRPr="004C3724">
        <w:rPr>
          <w:rFonts w:asciiTheme="minorHAnsi" w:hAnsiTheme="minorHAnsi"/>
        </w:rPr>
        <w:t xml:space="preserve"> la historia reciente de la noche</w:t>
      </w:r>
      <w:r w:rsidR="004C3724">
        <w:rPr>
          <w:rFonts w:asciiTheme="minorHAnsi" w:hAnsiTheme="minorHAnsi"/>
        </w:rPr>
        <w:t>,</w:t>
      </w:r>
      <w:r w:rsidR="004C3724" w:rsidRPr="004C3724">
        <w:rPr>
          <w:rFonts w:asciiTheme="minorHAnsi" w:hAnsiTheme="minorHAnsi"/>
        </w:rPr>
        <w:t xml:space="preserve"> ya anticip</w:t>
      </w:r>
      <w:r w:rsidR="0066574C">
        <w:rPr>
          <w:rFonts w:asciiTheme="minorHAnsi" w:hAnsiTheme="minorHAnsi"/>
        </w:rPr>
        <w:t>aron</w:t>
      </w:r>
      <w:r w:rsidR="004C3724" w:rsidRPr="004C3724">
        <w:rPr>
          <w:rFonts w:asciiTheme="minorHAnsi" w:hAnsiTheme="minorHAnsi"/>
        </w:rPr>
        <w:t xml:space="preserve"> el deterioro antes de que el evento individual lo exprese. Es la diferencia entre leer una palabra suelta y leer la oración completa.</w:t>
      </w:r>
    </w:p>
    <w:p w14:paraId="06809B0F" w14:textId="5006ED48" w:rsidR="00A9687A" w:rsidRPr="00D639C0" w:rsidRDefault="00000000" w:rsidP="004C3724">
      <w:pPr>
        <w:spacing w:after="200" w:line="360" w:lineRule="auto"/>
        <w:jc w:val="both"/>
        <w:rPr>
          <w:rFonts w:asciiTheme="minorHAnsi" w:hAnsiTheme="minorHAnsi"/>
        </w:rPr>
      </w:pPr>
      <w:r w:rsidRPr="00D639C0">
        <w:rPr>
          <w:rFonts w:asciiTheme="minorHAnsi" w:hAnsiTheme="minorHAnsi"/>
          <w:b/>
          <w:bCs/>
          <w:sz w:val="20"/>
          <w:szCs w:val="20"/>
        </w:rPr>
        <w:t>Tabla 6.7. Rendimiento del modelo predictivo de evento severo — LOPO-CV (NB07 Bloque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3E6FA66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C94800"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DBDF4B"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121469"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A5D172"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60B8F6"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A49832"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Mejora AP</w:t>
            </w:r>
          </w:p>
        </w:tc>
      </w:tr>
      <w:tr w:rsidR="00A9687A" w:rsidRPr="00D639C0" w14:paraId="3EA294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FC15E"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A07F7"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0803F"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4D1EB"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606D4"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0C06B"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2,9×</w:t>
            </w:r>
          </w:p>
        </w:tc>
      </w:tr>
      <w:tr w:rsidR="00A9687A" w:rsidRPr="00D639C0" w14:paraId="5D56AF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F69F8"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15237"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C033C"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50D5C"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E3FDD"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4D908"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4,3×</w:t>
            </w:r>
          </w:p>
        </w:tc>
      </w:tr>
    </w:tbl>
    <w:p w14:paraId="61A7A40F" w14:textId="77777777" w:rsidR="00A9687A" w:rsidRPr="00D639C0" w:rsidRDefault="00000000" w:rsidP="00D639C0">
      <w:pPr>
        <w:spacing w:after="100" w:line="360" w:lineRule="auto"/>
        <w:jc w:val="both"/>
        <w:rPr>
          <w:rFonts w:asciiTheme="minorHAnsi" w:hAnsiTheme="minorHAnsi"/>
        </w:rPr>
      </w:pPr>
      <w:r w:rsidRPr="00D639C0">
        <w:rPr>
          <w:rFonts w:asciiTheme="minorHAnsi" w:hAnsiTheme="minorHAnsi"/>
          <w:i/>
          <w:iCs/>
          <w:sz w:val="20"/>
          <w:szCs w:val="20"/>
        </w:rPr>
        <w:t>Nota. Clase positiva = C4 o C5 (5,57 %). Baseline AP = 5,56 % (prevalencia). Rango AUC por fold (LightGBM): 0,798–0,964.</w:t>
      </w:r>
    </w:p>
    <w:p w14:paraId="774DBD8B" w14:textId="77777777" w:rsidR="00A9687A" w:rsidRPr="00D639C0" w:rsidRDefault="00000000" w:rsidP="00D639C0">
      <w:pPr>
        <w:spacing w:before="80" w:after="160" w:line="360" w:lineRule="auto"/>
        <w:rPr>
          <w:rFonts w:asciiTheme="minorHAnsi" w:hAnsiTheme="minorHAnsi"/>
        </w:rPr>
      </w:pPr>
      <w:r w:rsidRPr="00D639C0">
        <w:rPr>
          <w:rFonts w:ascii="Segoe UI Symbol" w:hAnsi="Segoe UI Symbol" w:cs="Segoe UI Symbol"/>
          <w:i/>
          <w:iCs/>
          <w:color w:val="555555"/>
          <w:sz w:val="20"/>
          <w:szCs w:val="20"/>
        </w:rPr>
        <w:t>▸</w:t>
      </w:r>
      <w:r w:rsidRPr="00D639C0">
        <w:rPr>
          <w:rFonts w:asciiTheme="minorHAnsi" w:hAnsiTheme="minorHAnsi"/>
          <w:i/>
          <w:iCs/>
          <w:color w:val="555555"/>
          <w:sz w:val="20"/>
          <w:szCs w:val="20"/>
        </w:rPr>
        <w:t xml:space="preserve"> Figura complementaria en Anexo: Fig. 6.8 (curvas ROC y Precision-Recall comparativas).</w:t>
      </w:r>
    </w:p>
    <w:p w14:paraId="7C6D857D" w14:textId="4F85484E" w:rsidR="00A9687A" w:rsidRPr="00D639C0" w:rsidRDefault="00000000" w:rsidP="00D639C0">
      <w:pPr>
        <w:pStyle w:val="Ttulo2"/>
        <w:spacing w:line="360" w:lineRule="auto"/>
        <w:rPr>
          <w:rFonts w:asciiTheme="minorHAnsi" w:hAnsiTheme="minorHAnsi"/>
        </w:rPr>
      </w:pPr>
      <w:r w:rsidRPr="00D639C0">
        <w:rPr>
          <w:rFonts w:asciiTheme="minorHAnsi" w:hAnsiTheme="minorHAnsi"/>
        </w:rPr>
        <w:t>6.8  Modelo predictivo a nivel de noche</w:t>
      </w:r>
    </w:p>
    <w:p w14:paraId="10A70054" w14:textId="504DFF18" w:rsidR="00A9687A" w:rsidRPr="00E70F72" w:rsidRDefault="0066574C" w:rsidP="00E70F72">
      <w:pPr>
        <w:pStyle w:val="NormalWeb"/>
        <w:spacing w:line="360" w:lineRule="auto"/>
        <w:jc w:val="both"/>
        <w:rPr>
          <w:rFonts w:asciiTheme="minorHAnsi" w:hAnsiTheme="minorHAnsi"/>
        </w:rPr>
      </w:pPr>
      <w:r w:rsidRPr="00E70F72">
        <w:rPr>
          <w:rFonts w:asciiTheme="minorHAnsi" w:hAnsiTheme="minorHAnsi"/>
        </w:rPr>
        <w:t xml:space="preserve">El modelo de clasificación nocturna opera con clasificación binaria: </w:t>
      </w:r>
      <w:r w:rsidRPr="00E70F72">
        <w:rPr>
          <w:rFonts w:asciiTheme="minorHAnsi" w:hAnsiTheme="minorHAnsi"/>
          <w:i/>
          <w:iCs/>
        </w:rPr>
        <w:t>Normal+Leve</w:t>
      </w:r>
      <w:r w:rsidRPr="00E70F72">
        <w:rPr>
          <w:rFonts w:asciiTheme="minorHAnsi" w:hAnsiTheme="minorHAnsi"/>
        </w:rPr>
        <w:t xml:space="preserve"> versus </w:t>
      </w:r>
      <w:r w:rsidRPr="00E70F72">
        <w:rPr>
          <w:rFonts w:asciiTheme="minorHAnsi" w:hAnsiTheme="minorHAnsi"/>
          <w:i/>
          <w:iCs/>
        </w:rPr>
        <w:t>Modera</w:t>
      </w:r>
      <w:r w:rsidRPr="003A173E">
        <w:rPr>
          <w:rFonts w:asciiTheme="minorHAnsi" w:hAnsiTheme="minorHAnsi"/>
          <w:i/>
          <w:iCs/>
        </w:rPr>
        <w:t>do+Severo</w:t>
      </w:r>
      <w:r w:rsidRPr="003A173E">
        <w:rPr>
          <w:rFonts w:asciiTheme="minorHAnsi" w:hAnsiTheme="minorHAnsi"/>
        </w:rPr>
        <w:t>, sobre 540 noches (</w:t>
      </w:r>
      <w:r w:rsidR="003A173E" w:rsidRPr="003A173E">
        <w:rPr>
          <w:rFonts w:asciiTheme="minorHAnsi" w:hAnsiTheme="minorHAnsi"/>
        </w:rPr>
        <w:t>el 32,0 % clasificadas como Moderado+Severo</w:t>
      </w:r>
      <w:r w:rsidRPr="00E70F72">
        <w:rPr>
          <w:rFonts w:asciiTheme="minorHAnsi" w:hAnsiTheme="minorHAnsi"/>
        </w:rPr>
        <w:t>).</w:t>
      </w:r>
      <w:r w:rsidRPr="00E70F72">
        <w:rPr>
          <w:rFonts w:asciiTheme="minorHAnsi" w:hAnsiTheme="minorHAnsi"/>
        </w:rPr>
        <w:t xml:space="preserve"> </w:t>
      </w:r>
      <w:r w:rsidRPr="00E70F72">
        <w:rPr>
          <w:rFonts w:asciiTheme="minorHAnsi" w:hAnsiTheme="minorHAnsi"/>
        </w:rPr>
        <w:t>En este caso, la regresión logística superó al Random Forest: AUC = 0,874 vs. 0,815; precisión promedio (</w:t>
      </w:r>
      <w:r w:rsidRPr="00E70F72">
        <w:rPr>
          <w:rFonts w:asciiTheme="minorHAnsi" w:hAnsiTheme="minorHAnsi"/>
          <w:b/>
          <w:bCs/>
        </w:rPr>
        <w:t>AP</w:t>
      </w:r>
      <w:r w:rsidRPr="00E70F72">
        <w:rPr>
          <w:rFonts w:asciiTheme="minorHAnsi" w:hAnsiTheme="minorHAnsi"/>
        </w:rPr>
        <w:t xml:space="preserve">, </w:t>
      </w:r>
      <w:r w:rsidRPr="00E70F72">
        <w:rPr>
          <w:rStyle w:val="nfasis"/>
          <w:rFonts w:asciiTheme="minorHAnsi" w:hAnsiTheme="minorHAnsi"/>
        </w:rPr>
        <w:t>Average Precision</w:t>
      </w:r>
      <w:r w:rsidRPr="00E70F72">
        <w:rPr>
          <w:rFonts w:asciiTheme="minorHAnsi" w:hAnsiTheme="minorHAnsi"/>
        </w:rPr>
        <w:t>) = 0,764 vs. 0,649 (Tabla 6.8).</w:t>
      </w:r>
      <w:r w:rsidRPr="00E70F72">
        <w:rPr>
          <w:rFonts w:asciiTheme="minorHAnsi" w:hAnsiTheme="minorHAnsi"/>
        </w:rPr>
        <w:t xml:space="preserve"> </w:t>
      </w:r>
      <w:r w:rsidR="00000000" w:rsidRPr="00E70F72">
        <w:rPr>
          <w:rFonts w:asciiTheme="minorHAnsi" w:eastAsia="Arial" w:hAnsiTheme="minorHAnsi" w:cs="Arial"/>
        </w:rPr>
        <w:t xml:space="preserve">Esta superioridad sugiere que, una vez transformadas las señales crudas en </w:t>
      </w:r>
      <w:r w:rsidRPr="00E70F72">
        <w:rPr>
          <w:rFonts w:asciiTheme="minorHAnsi" w:hAnsiTheme="minorHAnsi"/>
        </w:rPr>
        <w:lastRenderedPageBreak/>
        <w:t>dimensiones</w:t>
      </w:r>
      <w:r w:rsidR="00000000" w:rsidRPr="00E70F72">
        <w:rPr>
          <w:rFonts w:asciiTheme="minorHAnsi" w:eastAsia="Arial" w:hAnsiTheme="minorHAnsi" w:cs="Arial"/>
        </w:rPr>
        <w:t xml:space="preserve"> PAC, la separación entre noches de bajo y alto riesgo es aproximadamente lineal</w:t>
      </w:r>
      <w:r w:rsidR="00E70F72">
        <w:rPr>
          <w:rFonts w:asciiTheme="minorHAnsi" w:hAnsiTheme="minorHAnsi"/>
        </w:rPr>
        <w:t>;</w:t>
      </w:r>
      <w:r w:rsidRPr="00E70F72">
        <w:rPr>
          <w:rFonts w:asciiTheme="minorHAnsi" w:hAnsiTheme="minorHAnsi"/>
        </w:rPr>
        <w:t xml:space="preserve"> </w:t>
      </w:r>
      <w:r w:rsidR="00000000" w:rsidRPr="00E70F72">
        <w:rPr>
          <w:rFonts w:asciiTheme="minorHAnsi" w:eastAsia="Arial" w:hAnsiTheme="minorHAnsi" w:cs="Arial"/>
        </w:rPr>
        <w:t xml:space="preserve">la complejidad fisiológica fue capturada en etapas previas del pipeline. </w:t>
      </w:r>
      <w:r w:rsidR="00E70F72" w:rsidRPr="00E70F72">
        <w:rPr>
          <w:rFonts w:asciiTheme="minorHAnsi" w:hAnsiTheme="minorHAnsi"/>
        </w:rPr>
        <w:t xml:space="preserve">Las </w:t>
      </w:r>
      <w:r w:rsidR="00E70F72">
        <w:rPr>
          <w:rFonts w:asciiTheme="minorHAnsi" w:hAnsiTheme="minorHAnsi"/>
        </w:rPr>
        <w:t>dimensiones</w:t>
      </w:r>
      <w:r w:rsidR="00E70F72" w:rsidRPr="00E70F72">
        <w:rPr>
          <w:rFonts w:asciiTheme="minorHAnsi" w:hAnsiTheme="minorHAnsi"/>
        </w:rPr>
        <w:t xml:space="preserve"> más influyentes son las fracciones de tiempo en </w:t>
      </w:r>
      <w:r w:rsidR="00E70F72" w:rsidRPr="00E70F72">
        <w:rPr>
          <w:rFonts w:asciiTheme="minorHAnsi" w:hAnsiTheme="minorHAnsi"/>
          <w:b/>
          <w:bCs/>
        </w:rPr>
        <w:t>estados M</w:t>
      </w:r>
      <w:r w:rsidR="00E70F72" w:rsidRPr="00E70F72">
        <w:rPr>
          <w:rFonts w:asciiTheme="minorHAnsi" w:hAnsiTheme="minorHAnsi"/>
        </w:rPr>
        <w:t xml:space="preserve">: cuánto de la noche pasó en </w:t>
      </w:r>
      <w:r w:rsidR="00E70F72" w:rsidRPr="00E70F72">
        <w:rPr>
          <w:rFonts w:asciiTheme="minorHAnsi" w:hAnsiTheme="minorHAnsi"/>
          <w:b/>
          <w:bCs/>
        </w:rPr>
        <w:t>M0, M1, M2 y M3</w:t>
      </w:r>
      <w:r w:rsidR="00E70F72" w:rsidRPr="00E70F72">
        <w:rPr>
          <w:rFonts w:asciiTheme="minorHAnsi" w:hAnsiTheme="minorHAnsi"/>
        </w:rPr>
        <w:t xml:space="preserve"> explica el 69,4 % de la importancia del modelo. Que sean precisamente los estados de </w:t>
      </w:r>
      <w:r w:rsidR="00E70F72" w:rsidRPr="00E70F72">
        <w:rPr>
          <w:rFonts w:asciiTheme="minorHAnsi" w:hAnsiTheme="minorHAnsi"/>
          <w:b/>
          <w:bCs/>
        </w:rPr>
        <w:t>escala M</w:t>
      </w:r>
      <w:r w:rsidR="00E70F72">
        <w:rPr>
          <w:rFonts w:asciiTheme="minorHAnsi" w:hAnsiTheme="minorHAnsi"/>
        </w:rPr>
        <w:t xml:space="preserve">, </w:t>
      </w:r>
      <w:r w:rsidR="00E70F72" w:rsidRPr="00E70F72">
        <w:rPr>
          <w:rFonts w:asciiTheme="minorHAnsi" w:hAnsiTheme="minorHAnsi"/>
        </w:rPr>
        <w:t xml:space="preserve">y no los de </w:t>
      </w:r>
      <w:r w:rsidR="00E70F72" w:rsidRPr="00E70F72">
        <w:rPr>
          <w:rFonts w:asciiTheme="minorHAnsi" w:hAnsiTheme="minorHAnsi"/>
          <w:b/>
          <w:bCs/>
        </w:rPr>
        <w:t xml:space="preserve">escala S </w:t>
      </w:r>
      <w:r w:rsidR="00E70F72" w:rsidRPr="00E70F72">
        <w:rPr>
          <w:rFonts w:asciiTheme="minorHAnsi" w:hAnsiTheme="minorHAnsi"/>
        </w:rPr>
        <w:t>o</w:t>
      </w:r>
      <w:r w:rsidR="00E70F72" w:rsidRPr="00E70F72">
        <w:rPr>
          <w:rFonts w:asciiTheme="minorHAnsi" w:hAnsiTheme="minorHAnsi"/>
          <w:b/>
          <w:bCs/>
        </w:rPr>
        <w:t xml:space="preserve"> L</w:t>
      </w:r>
      <w:r w:rsidR="00E70F72">
        <w:rPr>
          <w:rFonts w:asciiTheme="minorHAnsi" w:hAnsiTheme="minorHAnsi"/>
        </w:rPr>
        <w:t>,</w:t>
      </w:r>
      <w:r w:rsidR="00E70F72" w:rsidRPr="00E70F72">
        <w:rPr>
          <w:rFonts w:asciiTheme="minorHAnsi" w:hAnsiTheme="minorHAnsi"/>
        </w:rPr>
        <w:t xml:space="preserve"> los que mejor predicen la categoría nocturna es consistente con lo que el Cap</w:t>
      </w:r>
      <w:r w:rsidR="00E70F72">
        <w:rPr>
          <w:rFonts w:asciiTheme="minorHAnsi" w:hAnsiTheme="minorHAnsi"/>
        </w:rPr>
        <w:t xml:space="preserve"> </w:t>
      </w:r>
      <w:r w:rsidR="00E70F72" w:rsidRPr="00E70F72">
        <w:rPr>
          <w:rFonts w:asciiTheme="minorHAnsi" w:hAnsiTheme="minorHAnsi"/>
        </w:rPr>
        <w:t xml:space="preserve">05 mostró: </w:t>
      </w:r>
      <w:r w:rsidR="00E70F72" w:rsidRPr="00E70F72">
        <w:rPr>
          <w:rFonts w:asciiTheme="minorHAnsi" w:hAnsiTheme="minorHAnsi"/>
          <w:b/>
          <w:bCs/>
        </w:rPr>
        <w:t>M1</w:t>
      </w:r>
      <w:r w:rsidR="00E70F72" w:rsidRPr="00E70F72">
        <w:rPr>
          <w:rFonts w:asciiTheme="minorHAnsi" w:hAnsiTheme="minorHAnsi"/>
        </w:rPr>
        <w:t xml:space="preserve"> es el mejor predictor de carga hipóxica acumulada. El modelo no solo funciona</w:t>
      </w:r>
      <w:r w:rsidR="00E70F72">
        <w:rPr>
          <w:rFonts w:asciiTheme="minorHAnsi" w:hAnsiTheme="minorHAnsi"/>
        </w:rPr>
        <w:t>,</w:t>
      </w:r>
      <w:r w:rsidR="00E70F72" w:rsidRPr="00E70F72">
        <w:rPr>
          <w:rFonts w:asciiTheme="minorHAnsi" w:hAnsiTheme="minorHAnsi"/>
        </w:rPr>
        <w:t xml:space="preserve"> </w:t>
      </w:r>
      <w:r w:rsidR="00E70F72">
        <w:rPr>
          <w:rFonts w:asciiTheme="minorHAnsi" w:hAnsiTheme="minorHAnsi"/>
        </w:rPr>
        <w:t xml:space="preserve">sino que lo hace </w:t>
      </w:r>
      <w:r w:rsidR="00E70F72" w:rsidRPr="00E70F72">
        <w:rPr>
          <w:rFonts w:asciiTheme="minorHAnsi" w:hAnsiTheme="minorHAnsi"/>
        </w:rPr>
        <w:t>por las razones fisiológicas correctas.</w:t>
      </w:r>
    </w:p>
    <w:p w14:paraId="71C449FD" w14:textId="5D1BFFC3" w:rsidR="00A9687A" w:rsidRPr="00D639C0" w:rsidRDefault="00000000" w:rsidP="00D639C0">
      <w:pPr>
        <w:spacing w:before="200" w:after="60" w:line="360" w:lineRule="auto"/>
        <w:rPr>
          <w:rFonts w:asciiTheme="minorHAnsi" w:hAnsiTheme="minorHAnsi"/>
        </w:rPr>
      </w:pPr>
      <w:r w:rsidRPr="00D639C0">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1F0EFD2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5766F3"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152B4E"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2B1D90"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19E912"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Baseline AP</w:t>
            </w:r>
          </w:p>
        </w:tc>
      </w:tr>
      <w:tr w:rsidR="00A9687A" w:rsidRPr="00D639C0" w14:paraId="59349D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2A20D"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FA13D"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99D2B"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F45C7"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0,320</w:t>
            </w:r>
          </w:p>
        </w:tc>
      </w:tr>
      <w:tr w:rsidR="00A9687A" w:rsidRPr="00D639C0" w14:paraId="6738F8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9E8F4"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B5A0"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6A4EC"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1DDDB"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0,320</w:t>
            </w:r>
          </w:p>
        </w:tc>
      </w:tr>
    </w:tbl>
    <w:p w14:paraId="4B673E53" w14:textId="77777777" w:rsidR="00D54A6F" w:rsidRPr="00D54A6F" w:rsidRDefault="00D54A6F" w:rsidP="00D639C0">
      <w:pPr>
        <w:spacing w:before="80" w:after="160" w:line="360" w:lineRule="auto"/>
        <w:rPr>
          <w:i/>
          <w:iCs/>
          <w:color w:val="808080" w:themeColor="background1" w:themeShade="80"/>
          <w:sz w:val="18"/>
          <w:szCs w:val="18"/>
        </w:rPr>
      </w:pPr>
      <w:r w:rsidRPr="00D54A6F">
        <w:rPr>
          <w:i/>
          <w:iCs/>
          <w:color w:val="808080" w:themeColor="background1" w:themeShade="80"/>
          <w:sz w:val="18"/>
          <w:szCs w:val="18"/>
        </w:rPr>
        <w:t>Nota. Clasificación binaria: Normal+Leve vs. Moderado+Severo. n = 540 noches, 8 pacientes, LOPO-CV estricto.</w:t>
      </w:r>
    </w:p>
    <w:p w14:paraId="75367EF1" w14:textId="03C8DA31" w:rsidR="00A9687A" w:rsidRPr="00D639C0" w:rsidRDefault="00000000" w:rsidP="00D639C0">
      <w:pPr>
        <w:spacing w:before="80" w:after="160" w:line="360" w:lineRule="auto"/>
        <w:rPr>
          <w:rFonts w:asciiTheme="minorHAnsi" w:hAnsiTheme="minorHAnsi"/>
        </w:rPr>
      </w:pPr>
      <w:r w:rsidRPr="00D639C0">
        <w:rPr>
          <w:rFonts w:ascii="Segoe UI Symbol" w:hAnsi="Segoe UI Symbol" w:cs="Segoe UI Symbol"/>
          <w:i/>
          <w:iCs/>
          <w:color w:val="555555"/>
          <w:sz w:val="20"/>
          <w:szCs w:val="20"/>
        </w:rPr>
        <w:t>▸</w:t>
      </w:r>
      <w:r w:rsidRPr="00D639C0">
        <w:rPr>
          <w:rFonts w:asciiTheme="minorHAnsi" w:hAnsiTheme="minorHAnsi"/>
          <w:i/>
          <w:iCs/>
          <w:color w:val="555555"/>
          <w:sz w:val="20"/>
          <w:szCs w:val="20"/>
        </w:rPr>
        <w:t xml:space="preserve"> Figura complementaria en Anexo: Fig. 6.9 (curvas ROC y Precision-Recall nocturnas).</w:t>
      </w:r>
    </w:p>
    <w:p w14:paraId="46B0ECBF" w14:textId="4156ABC3" w:rsidR="00A9687A" w:rsidRPr="00D639C0" w:rsidRDefault="00000000" w:rsidP="00D639C0">
      <w:pPr>
        <w:pStyle w:val="Ttulo2"/>
        <w:spacing w:line="360" w:lineRule="auto"/>
        <w:rPr>
          <w:rFonts w:asciiTheme="minorHAnsi" w:hAnsiTheme="minorHAnsi"/>
        </w:rPr>
      </w:pPr>
      <w:r w:rsidRPr="00D639C0">
        <w:rPr>
          <w:rFonts w:asciiTheme="minorHAnsi" w:hAnsiTheme="minorHAnsi"/>
        </w:rPr>
        <w:t>6.9  Risk Score PAC</w:t>
      </w:r>
    </w:p>
    <w:p w14:paraId="129F3DD4" w14:textId="77777777" w:rsidR="00166285" w:rsidRPr="00166285" w:rsidRDefault="00166285" w:rsidP="00166285">
      <w:pPr>
        <w:pStyle w:val="font-claude-response-body"/>
        <w:spacing w:line="360" w:lineRule="auto"/>
        <w:jc w:val="both"/>
        <w:rPr>
          <w:rFonts w:asciiTheme="minorHAnsi" w:hAnsiTheme="minorHAnsi"/>
        </w:rPr>
      </w:pPr>
      <w:r w:rsidRPr="00166285">
        <w:rPr>
          <w:rFonts w:asciiTheme="minorHAnsi" w:hAnsiTheme="minorHAnsi"/>
        </w:rPr>
        <w:t>El módulo final integra los dos componentes desarrollados en las secciones anteriores (el modelo de predicción de evento severo (§6.7) y el modelo de clasificación nocturna (§6.8)) en el Risk Score PAC (escala 0–100): 40 % del score de evento (probabilidad media LightGBM sobre los EDOs de la noche) y 60 % del score de noche (probabilidad de la regresión logística).</w:t>
      </w:r>
    </w:p>
    <w:p w14:paraId="021399B4" w14:textId="77777777" w:rsidR="00166285" w:rsidRPr="00166285" w:rsidRDefault="00166285" w:rsidP="00166285">
      <w:pPr>
        <w:pStyle w:val="font-claude-response-body"/>
        <w:spacing w:line="360" w:lineRule="auto"/>
        <w:jc w:val="both"/>
        <w:rPr>
          <w:rFonts w:asciiTheme="minorHAnsi" w:hAnsiTheme="minorHAnsi"/>
        </w:rPr>
      </w:pPr>
      <w:r w:rsidRPr="00166285">
        <w:rPr>
          <w:rFonts w:asciiTheme="minorHAnsi" w:hAnsiTheme="minorHAnsi"/>
        </w:rPr>
        <w:t>El componente nocturno recibe mayor peso por su naturaleza global y su menor sensibilidad al ruido de señal en ventanas individuales (Tabla 6.9). La asignación 40/60 es una decisión de diseño no sometida a análisis de sensibilidad formal; la robustez de los pesos ante variaciones en ese rango queda como trabajo pendiente.</w:t>
      </w:r>
    </w:p>
    <w:p w14:paraId="1EBB6CD0" w14:textId="1DC9AE62" w:rsidR="00A9687A" w:rsidRPr="00D639C0" w:rsidRDefault="00F0297D" w:rsidP="00F0297D">
      <w:pPr>
        <w:rPr>
          <w:rFonts w:asciiTheme="minorHAnsi" w:hAnsiTheme="minorHAnsi"/>
        </w:rPr>
      </w:pPr>
      <w:r>
        <w:rPr>
          <w:rFonts w:asciiTheme="minorHAnsi" w:hAnsiTheme="minorHAnsi"/>
        </w:rPr>
        <w:br w:type="page"/>
      </w:r>
    </w:p>
    <w:p w14:paraId="51E05F29" w14:textId="77777777" w:rsidR="00A9687A" w:rsidRPr="00D639C0" w:rsidRDefault="00000000" w:rsidP="00D639C0">
      <w:pPr>
        <w:spacing w:before="200" w:after="60" w:line="360" w:lineRule="auto"/>
        <w:rPr>
          <w:rFonts w:asciiTheme="minorHAnsi" w:hAnsiTheme="minorHAnsi"/>
        </w:rPr>
      </w:pPr>
      <w:r w:rsidRPr="00D639C0">
        <w:rPr>
          <w:rFonts w:asciiTheme="minorHAnsi" w:hAnsiTheme="minorHAnsi"/>
          <w:b/>
          <w:bCs/>
          <w:sz w:val="20"/>
          <w:szCs w:val="20"/>
        </w:rPr>
        <w:lastRenderedPageBreak/>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30A93A2A" w14:textId="77777777" w:rsidTr="00561E9A">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AF7898"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B22AC0"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1EBED2"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8B6B88" w14:textId="77777777" w:rsidR="00A9687A" w:rsidRPr="00D639C0" w:rsidRDefault="00000000" w:rsidP="00D639C0">
            <w:pPr>
              <w:spacing w:line="360" w:lineRule="auto"/>
              <w:rPr>
                <w:rFonts w:asciiTheme="minorHAnsi" w:hAnsiTheme="minorHAnsi"/>
              </w:rPr>
            </w:pPr>
            <w:r w:rsidRPr="00D639C0">
              <w:rPr>
                <w:rFonts w:asciiTheme="minorHAnsi" w:hAnsiTheme="minorHAnsi"/>
                <w:b/>
                <w:bCs/>
                <w:sz w:val="20"/>
                <w:szCs w:val="20"/>
              </w:rPr>
              <w:t>AUC base</w:t>
            </w:r>
          </w:p>
        </w:tc>
      </w:tr>
      <w:tr w:rsidR="00A9687A" w:rsidRPr="00D639C0" w14:paraId="692CDB8C" w14:textId="77777777" w:rsidTr="00561E9A">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93D77"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7E0C3" w14:textId="55CF3EF1" w:rsidR="00A9687A" w:rsidRPr="00561E9A" w:rsidRDefault="00000000" w:rsidP="00D639C0">
            <w:pPr>
              <w:spacing w:line="360" w:lineRule="auto"/>
              <w:rPr>
                <w:rFonts w:asciiTheme="minorHAnsi" w:hAnsiTheme="minorHAnsi"/>
                <w:sz w:val="20"/>
                <w:szCs w:val="20"/>
              </w:rPr>
            </w:pPr>
            <w:r w:rsidRPr="00561E9A">
              <w:rPr>
                <w:rFonts w:asciiTheme="minorHAnsi" w:hAnsiTheme="minorHAnsi"/>
                <w:sz w:val="20"/>
                <w:szCs w:val="20"/>
              </w:rPr>
              <w:t>LightGBM</w:t>
            </w:r>
            <w:r w:rsidR="00561E9A" w:rsidRPr="00561E9A">
              <w:rPr>
                <w:rFonts w:asciiTheme="minorHAnsi" w:hAnsiTheme="minorHAnsi"/>
                <w:sz w:val="20"/>
                <w:szCs w:val="20"/>
              </w:rPr>
              <w:t xml:space="preserve"> </w:t>
            </w:r>
            <w:r w:rsidR="00561E9A" w:rsidRPr="00561E9A">
              <w:rPr>
                <w:rFonts w:asciiTheme="minorHAnsi" w:hAnsiTheme="minorHAnsi"/>
                <w:sz w:val="20"/>
                <w:szCs w:val="20"/>
              </w:rPr>
              <w:t>—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66D35"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8785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0,878</w:t>
            </w:r>
          </w:p>
        </w:tc>
      </w:tr>
      <w:tr w:rsidR="00A9687A" w:rsidRPr="00D639C0" w14:paraId="666FA516" w14:textId="77777777" w:rsidTr="00561E9A">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F6A10"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4F0B6" w14:textId="084E2B51" w:rsidR="00A9687A" w:rsidRPr="00561E9A" w:rsidRDefault="00561E9A" w:rsidP="00D639C0">
            <w:pPr>
              <w:spacing w:line="360" w:lineRule="auto"/>
              <w:rPr>
                <w:rFonts w:asciiTheme="minorHAnsi" w:hAnsiTheme="minorHAnsi"/>
                <w:sz w:val="20"/>
                <w:szCs w:val="20"/>
              </w:rPr>
            </w:pPr>
            <w:r w:rsidRPr="00561E9A">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32434"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08733" w14:textId="77777777" w:rsidR="00A9687A" w:rsidRPr="00D639C0" w:rsidRDefault="00000000" w:rsidP="00D639C0">
            <w:pPr>
              <w:spacing w:line="360" w:lineRule="auto"/>
              <w:rPr>
                <w:rFonts w:asciiTheme="minorHAnsi" w:hAnsiTheme="minorHAnsi"/>
              </w:rPr>
            </w:pPr>
            <w:r w:rsidRPr="00D639C0">
              <w:rPr>
                <w:rFonts w:asciiTheme="minorHAnsi" w:hAnsiTheme="minorHAnsi"/>
                <w:sz w:val="20"/>
                <w:szCs w:val="20"/>
              </w:rPr>
              <w:t>0,874</w:t>
            </w:r>
          </w:p>
        </w:tc>
      </w:tr>
    </w:tbl>
    <w:p w14:paraId="641D3CF8" w14:textId="43DD067C" w:rsidR="00A9687A" w:rsidRPr="00D639C0" w:rsidRDefault="00000000" w:rsidP="00D639C0">
      <w:pPr>
        <w:spacing w:after="100" w:line="360" w:lineRule="auto"/>
        <w:jc w:val="both"/>
        <w:rPr>
          <w:rFonts w:asciiTheme="minorHAnsi" w:hAnsiTheme="minorHAnsi"/>
        </w:rPr>
      </w:pPr>
      <w:r w:rsidRPr="00D639C0">
        <w:rPr>
          <w:rFonts w:asciiTheme="minorHAnsi" w:hAnsiTheme="minorHAnsi"/>
          <w:i/>
          <w:iCs/>
          <w:sz w:val="20"/>
          <w:szCs w:val="20"/>
        </w:rPr>
        <w:t>Nota. Fórmula: Risk Score = (0,40 × p_ev_norm + 0,60 × p_high_risk_night) × 100. Etiquetas: Bajo &lt; 30, Moderado 30–60, Alto &gt; 60.</w:t>
      </w:r>
    </w:p>
    <w:p w14:paraId="163FAADF" w14:textId="77777777" w:rsidR="00166285" w:rsidRPr="00166285" w:rsidRDefault="00166285" w:rsidP="00166285">
      <w:pPr>
        <w:pStyle w:val="font-claude-response-body"/>
        <w:spacing w:line="360" w:lineRule="auto"/>
        <w:jc w:val="both"/>
        <w:rPr>
          <w:rFonts w:asciiTheme="minorHAnsi" w:hAnsiTheme="minorHAnsi"/>
        </w:rPr>
      </w:pPr>
      <w:r w:rsidRPr="00166285">
        <w:rPr>
          <w:rFonts w:asciiTheme="minorHAnsi" w:hAnsiTheme="minorHAnsi"/>
        </w:rPr>
        <w:t>La distribución del score muestra un gradiente monótono (sin inversiones entre categorías) con medianas de 29,2 (Normal), 29,4 (Leve), 72,9 (Moderado) y 81,0 (Severo), confirmando que el índice captura la progresión de severidad en el orden clínicamente esperado. La proximidad entre las medianas de Normal y Leve refleja una limitación del score en el extremo inferior: ambas categorías comparten perfiles fisiológicos dinámicos similares que los modelos no logran separar con claridad, lo que es consistente con la baja prevalencia de noches Normal en la cohorte.</w:t>
      </w:r>
    </w:p>
    <w:p w14:paraId="238AF159" w14:textId="77777777" w:rsidR="00166285" w:rsidRPr="00166285" w:rsidRDefault="00166285" w:rsidP="00166285">
      <w:pPr>
        <w:pStyle w:val="font-claude-response-body"/>
        <w:spacing w:line="360" w:lineRule="auto"/>
        <w:jc w:val="both"/>
        <w:rPr>
          <w:rFonts w:asciiTheme="minorHAnsi" w:hAnsiTheme="minorHAnsi"/>
        </w:rPr>
      </w:pPr>
      <w:r w:rsidRPr="00166285">
        <w:rPr>
          <w:rFonts w:asciiTheme="minorHAnsi" w:hAnsiTheme="minorHAnsi"/>
        </w:rPr>
        <w:t xml:space="preserve">El umbral de 60 puntos identifica el 100 % de las noches Severas y el 77,6 % de las Moderadas como de alto riesgo, con una tasa de falsos positivos del 9,4 % en Leve y del 0 % en Normal. El </w:t>
      </w:r>
      <w:r w:rsidRPr="00A10CEA">
        <w:rPr>
          <w:rFonts w:asciiTheme="minorHAnsi" w:hAnsiTheme="minorHAnsi"/>
          <w:b/>
          <w:bCs/>
        </w:rPr>
        <w:t xml:space="preserve">Risk Score PAC </w:t>
      </w:r>
      <w:r w:rsidRPr="00166285">
        <w:rPr>
          <w:rFonts w:asciiTheme="minorHAnsi" w:hAnsiTheme="minorHAnsi"/>
        </w:rPr>
        <w:t>no es un sistema de monitoreo en tiempo real sino un índice de caracterización dinámica retrospectiva. Su valor reside en describir la arquitectura fisiológica de la noche: no solo cuántos eventos ocurrieron, sino en qué estados del organismo ocurrieron y qué trayectoria siguió el sistema. Esto lo hace útil para fenotipado post-diagnóstico, seguimiento longitudinal y detección de noches con riesgo oculto.</w:t>
      </w:r>
    </w:p>
    <w:p w14:paraId="5E724575" w14:textId="010F612A" w:rsidR="00A9687A" w:rsidRPr="00D639C0" w:rsidRDefault="00000000" w:rsidP="00561E9A">
      <w:pPr>
        <w:spacing w:after="200" w:line="360" w:lineRule="auto"/>
        <w:jc w:val="both"/>
        <w:rPr>
          <w:rFonts w:asciiTheme="minorHAnsi" w:hAnsiTheme="minorHAnsi"/>
        </w:rPr>
      </w:pPr>
      <w:r w:rsidRPr="00D639C0">
        <w:rPr>
          <w:rFonts w:ascii="Segoe UI Symbol" w:hAnsi="Segoe UI Symbol" w:cs="Segoe UI Symbol"/>
          <w:i/>
          <w:iCs/>
          <w:color w:val="555555"/>
          <w:sz w:val="20"/>
          <w:szCs w:val="20"/>
        </w:rPr>
        <w:t>▸</w:t>
      </w:r>
      <w:r w:rsidRPr="00D639C0">
        <w:rPr>
          <w:rFonts w:asciiTheme="minorHAnsi" w:hAnsiTheme="minorHAnsi"/>
          <w:i/>
          <w:iCs/>
          <w:color w:val="555555"/>
          <w:sz w:val="20"/>
          <w:szCs w:val="20"/>
        </w:rPr>
        <w:t xml:space="preserve"> Figura complementaria en Anexo: Fig. 6.10 (distribución del Risk Score por categoría AASM, boxplot y distribución proporcional).</w:t>
      </w:r>
    </w:p>
    <w:p w14:paraId="60DF8CF7" w14:textId="77777777" w:rsidR="00A9687A" w:rsidRPr="00D639C0" w:rsidRDefault="00000000" w:rsidP="00D639C0">
      <w:pPr>
        <w:pStyle w:val="Ttulo2"/>
        <w:spacing w:line="360" w:lineRule="auto"/>
        <w:rPr>
          <w:rFonts w:asciiTheme="minorHAnsi" w:hAnsiTheme="minorHAnsi"/>
        </w:rPr>
      </w:pPr>
      <w:r w:rsidRPr="00D639C0">
        <w:rPr>
          <w:rFonts w:asciiTheme="minorHAnsi" w:hAnsiTheme="minorHAnsi"/>
        </w:rPr>
        <w:t>6.10  Limitaciones</w:t>
      </w:r>
    </w:p>
    <w:p w14:paraId="1BAAFE3B" w14:textId="77777777" w:rsidR="00CC2EEF" w:rsidRPr="00CC2EEF" w:rsidRDefault="00CC2EEF" w:rsidP="00CC2EEF">
      <w:pPr>
        <w:pStyle w:val="font-claude-response-body"/>
        <w:spacing w:line="360" w:lineRule="auto"/>
        <w:jc w:val="both"/>
        <w:rPr>
          <w:rFonts w:asciiTheme="minorHAnsi" w:hAnsiTheme="minorHAnsi"/>
        </w:rPr>
      </w:pPr>
      <w:r w:rsidRPr="00CC2EEF">
        <w:rPr>
          <w:rFonts w:asciiTheme="minorHAnsi" w:hAnsiTheme="minorHAnsi"/>
        </w:rPr>
        <w:t xml:space="preserve">Los resultados deben interpretarse en el contexto de una cohorte reducida. Con n = 8 en la cohorte estricta, el LOPO-CV produce ocho puntos de rendimiento independientes: suficientes para estimar tendencias con magnitud de efecto </w:t>
      </w:r>
      <w:r w:rsidRPr="00CC2EEF">
        <w:rPr>
          <w:rFonts w:asciiTheme="minorHAnsi" w:hAnsiTheme="minorHAnsi"/>
        </w:rPr>
        <w:lastRenderedPageBreak/>
        <w:t>estimable, no para certificación clínica. La varianza entre folds es considerable (balanced accuracy en ablación: 0,469 ± 0,259; AUC de evento: 0,798–0,964), reflejando heterogeneidad fisiológica real entre pacientes. La ausencia de polisomnografía concurrente —limitación compartida con los capítulos anteriores— restringe la interpretación de los estadios de sueño estimados y la comparación directa con el AHI.</w:t>
      </w:r>
    </w:p>
    <w:p w14:paraId="76278B92" w14:textId="754421B2" w:rsidR="00A9687A" w:rsidRPr="00D639C0" w:rsidRDefault="00000000" w:rsidP="00D639C0">
      <w:pPr>
        <w:spacing w:after="200" w:line="360" w:lineRule="auto"/>
        <w:jc w:val="both"/>
        <w:rPr>
          <w:rFonts w:asciiTheme="minorHAnsi" w:hAnsiTheme="minorHAnsi"/>
        </w:rPr>
      </w:pPr>
      <w:r w:rsidRPr="00D639C0">
        <w:rPr>
          <w:rFonts w:asciiTheme="minorHAnsi" w:hAnsiTheme="minorHAnsi"/>
        </w:rPr>
        <w:t>El Risk Score PAC no es una herramienta clínica validada: requeriría calibración externa, evaluación de reproducibilidad, asociación con outcomes clínicos y análisis de utilidad incremental frente a índices establecidos antes de cualquier uso asistencial</w:t>
      </w:r>
      <w:r w:rsidRPr="00CC2EEF">
        <w:rPr>
          <w:rFonts w:asciiTheme="minorHAnsi" w:hAnsiTheme="minorHAnsi"/>
        </w:rPr>
        <w:t xml:space="preserve">. </w:t>
      </w:r>
      <w:r w:rsidR="00CC2EEF" w:rsidRPr="00CC2EEF">
        <w:rPr>
          <w:rFonts w:asciiTheme="minorHAnsi" w:hAnsiTheme="minorHAnsi"/>
        </w:rPr>
        <w:t>La predicción en tiempo real —con lead time explícito y habilitación del estimulador terapéutico— es objeto del Capítulo 8; las implicaciones clínicas y las líneas de trabajo futuro se retoman en el Capítulo 9.</w:t>
      </w:r>
    </w:p>
    <w:p w14:paraId="662261BD" w14:textId="1839E7A9" w:rsidR="00A9687A" w:rsidRPr="00D639C0" w:rsidRDefault="00A9687A" w:rsidP="00D639C0">
      <w:pPr>
        <w:spacing w:before="400" w:line="360" w:lineRule="auto"/>
        <w:rPr>
          <w:rFonts w:asciiTheme="minorHAnsi" w:hAnsiTheme="minorHAnsi"/>
        </w:rPr>
      </w:pPr>
    </w:p>
    <w:sectPr w:rsidR="00A9687A" w:rsidRPr="00D639C0">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3CB72" w14:textId="77777777" w:rsidR="00285D38" w:rsidRDefault="00285D38">
      <w:r>
        <w:separator/>
      </w:r>
    </w:p>
  </w:endnote>
  <w:endnote w:type="continuationSeparator" w:id="0">
    <w:p w14:paraId="245F0ECD" w14:textId="77777777" w:rsidR="00285D38" w:rsidRDefault="00285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7D0E" w14:textId="77777777" w:rsidR="00285D38" w:rsidRDefault="00285D38">
      <w:r>
        <w:separator/>
      </w:r>
    </w:p>
  </w:footnote>
  <w:footnote w:type="continuationSeparator" w:id="0">
    <w:p w14:paraId="13F97057" w14:textId="77777777" w:rsidR="00285D38" w:rsidRDefault="00285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A822" w14:textId="77777777" w:rsidR="00000000"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70B1"/>
    <w:rsid w:val="00076435"/>
    <w:rsid w:val="00120EA2"/>
    <w:rsid w:val="00166285"/>
    <w:rsid w:val="001F7132"/>
    <w:rsid w:val="0021509E"/>
    <w:rsid w:val="00285D38"/>
    <w:rsid w:val="002F607E"/>
    <w:rsid w:val="002F7285"/>
    <w:rsid w:val="00386647"/>
    <w:rsid w:val="003A173E"/>
    <w:rsid w:val="00407470"/>
    <w:rsid w:val="0042185E"/>
    <w:rsid w:val="004774AE"/>
    <w:rsid w:val="004C3724"/>
    <w:rsid w:val="004F6C2C"/>
    <w:rsid w:val="00561E9A"/>
    <w:rsid w:val="005E7823"/>
    <w:rsid w:val="0066574C"/>
    <w:rsid w:val="006B067C"/>
    <w:rsid w:val="007115A3"/>
    <w:rsid w:val="00740724"/>
    <w:rsid w:val="0075335A"/>
    <w:rsid w:val="007B0DF7"/>
    <w:rsid w:val="007C078B"/>
    <w:rsid w:val="007D62B0"/>
    <w:rsid w:val="00833978"/>
    <w:rsid w:val="00876E61"/>
    <w:rsid w:val="009005C3"/>
    <w:rsid w:val="00980146"/>
    <w:rsid w:val="00A03C7F"/>
    <w:rsid w:val="00A10CEA"/>
    <w:rsid w:val="00A4213E"/>
    <w:rsid w:val="00A9687A"/>
    <w:rsid w:val="00C76BF5"/>
    <w:rsid w:val="00CA34F0"/>
    <w:rsid w:val="00CB29B7"/>
    <w:rsid w:val="00CC2EEF"/>
    <w:rsid w:val="00CC4DA3"/>
    <w:rsid w:val="00CD7DAA"/>
    <w:rsid w:val="00D43F7C"/>
    <w:rsid w:val="00D54A6F"/>
    <w:rsid w:val="00D639C0"/>
    <w:rsid w:val="00D71786"/>
    <w:rsid w:val="00E67DFE"/>
    <w:rsid w:val="00E70F72"/>
    <w:rsid w:val="00EA2E08"/>
    <w:rsid w:val="00F0297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4F2A32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11</Pages>
  <Words>3312</Words>
  <Characters>15270</Characters>
  <Application>Microsoft Office Word</Application>
  <DocSecurity>0</DocSecurity>
  <Lines>1272</Lines>
  <Paragraphs>929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32</cp:revision>
  <dcterms:created xsi:type="dcterms:W3CDTF">2026-06-02T18:49:00Z</dcterms:created>
  <dcterms:modified xsi:type="dcterms:W3CDTF">2026-06-05T02:28:00Z</dcterms:modified>
</cp:coreProperties>
</file>