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0A9F"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6E8F3D64"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0833180C" w14:textId="77777777" w:rsidR="00A9687A" w:rsidRPr="00D639C0" w:rsidRDefault="00000000" w:rsidP="00D639C0">
      <w:pPr>
        <w:spacing w:after="400"/>
        <w:rPr>
          <w:sz w:val="18"/>
          <w:szCs w:val="18"/>
        </w:rPr>
      </w:pPr>
      <w:r>
        <w:rPr>
          <w:i/>
          <w:iCs/>
          <w:color w:val="666666"/>
          <w:sz w:val="18"/>
          <w:szCs w:val="18"/>
        </w:rPr>
        <w:t>Versión 6  ·  Junio 2026</w:t>
      </w:r>
    </w:p>
    <w:p w14:paraId="2B2E3B6F"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9B0FEB0" w14:textId="244A6DE6"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ya desarrolladas, morfotipos y reactividad autonómica (Cap04) y estados dinámicos (Cap05), el arco predictivo del proyecto: desde la cuantificación del acoplamiento entre morfotipos y estados hasta la integración de los modelos en el Risk Score PAC (0–100), un índice de caracterización dinámica retrospectiva que condensa la arquitectura fisiológica de una noche en un único valor interpretable. Los grupos de features se organizan en cuatro bloques: morfotipos C1–C5 (nivel evento), ARI (reactividad autonómica), estados PAC (fracciones de tiempo por estado en las tres escalas) y dinámica PAC (transiciones Markovianas, índices de acoplamiento, resiliencia y entropías). El análisis se organiza en tres bloques: acoplamiento y dinámica nocturna (§6.2–6.5), modelos predictivos validados por LOPO-CV (§6.6–6.8), y síntesis en el Risk Score PAC (§6.9). La Tabla 6.1 sintetiza el diseño analítico.</w:t>
      </w:r>
    </w:p>
    <w:p w14:paraId="76277E46" w14:textId="77777777"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Dado el carácter observacional del estudio y el tamaño reducido de la cohorte, los resultados de este capítulo deben interpretarse como generadores de hipótesis, no como validación clínica, y los índices construidos ad hoc (Coupling Index, Risk Score PAC) como propuestas metodológicas cuya robustez requiere confirmación en cohortes independientes.</w:t>
      </w:r>
    </w:p>
    <w:p w14:paraId="60353CA6"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6.1. Resumen del diseño predictivo del Capítulo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200"/>
        <w:gridCol w:w="1700"/>
        <w:gridCol w:w="1600"/>
      </w:tblGrid>
      <w:tr w:rsidR="00A9687A" w:rsidRPr="00D639C0" w14:paraId="7D55D88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648C8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Nivel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6F601F"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Tarea predictiva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C759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NB</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9436F"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2CA2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Cohorte</w:t>
            </w:r>
          </w:p>
        </w:tc>
      </w:tr>
      <w:tr w:rsidR="00A9687A" w:rsidRPr="00D639C0" w14:paraId="285C89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FD65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Evento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F46E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Clasificación evento severo C4/C5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468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NB07-B</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1C7F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 vs. LR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1328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8 pac., 76.053 ev.</w:t>
            </w:r>
          </w:p>
        </w:tc>
      </w:tr>
      <w:tr w:rsidR="00A9687A" w:rsidRPr="00D639C0" w14:paraId="0670F9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434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Noche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0C16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Clasificación binaria Normal+Leve vs. Mod.+Sev.</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90F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NB07-C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8A4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LR vs. RF</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31F3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8 pac., 540 noches</w:t>
            </w:r>
          </w:p>
        </w:tc>
      </w:tr>
      <w:tr w:rsidR="00A9687A" w:rsidRPr="00D639C0" w14:paraId="72431D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7645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Noche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158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Clasificación multiclase AASM — ablación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E29B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297B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2F94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8 pac., 540 noches</w:t>
            </w:r>
          </w:p>
        </w:tc>
      </w:tr>
      <w:tr w:rsidR="00A9687A" w:rsidRPr="00D639C0" w14:paraId="708859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05EA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Integración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BA60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Risk Score nocturno 0–100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C217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NB07-D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CDFC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Combinación pond.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166F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Cohorte estricta</w:t>
            </w:r>
          </w:p>
        </w:tc>
      </w:tr>
    </w:tbl>
    <w:p w14:paraId="39E0D3DC"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LOPO-CV: leave-one-patient-out cross-validation; n efectivo = 8 pacientes. El análisis de acoplamiento opera sobre la cohorte completa (12 pac., 83.892 eventos). Los modelos predictivos operan sobre la cohorte estricta (8 pac., 540 noches).</w:t>
      </w:r>
    </w:p>
    <w:p w14:paraId="012C8401" w14:textId="64E0528A"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6717AF08" w14:textId="6E93CFE1" w:rsidR="00CC4DA3" w:rsidRPr="00CC4DA3" w:rsidRDefault="00CC4DA3" w:rsidP="00CC4DA3">
      <w:pPr>
        <w:pStyle w:val="font-claude-response-body"/>
        <w:spacing w:line="360" w:lineRule="auto"/>
        <w:jc w:val="both"/>
        <w:rPr>
          <w:rFonts w:asciiTheme="minorHAnsi" w:hAnsiTheme="minorHAnsi"/>
        </w:rPr>
      </w:pPr>
      <w:r>
        <w:rPr>
          <w:rFonts w:asciiTheme="minorHAnsi" w:hAnsiTheme="minorHAnsi"/>
        </w:rPr>
        <w:t xml:space="preserve">El análisis de acoplamiento entre morfotipos y estados, cruza la distribución de morfotipos (C1–C5) con los estados PAC simultáneos en las tres escalas cuantificando la asociación mediante V de Cramér sobre </w:t>
      </w:r>
      <w:r>
        <w:rPr>
          <w:rFonts w:asciiTheme="minorHAnsi" w:hAnsiTheme="minorHAnsi"/>
          <w:i/>
          <w:iCs/>
        </w:rPr>
        <w:t>P(morfotipo | estado)</w:t>
      </w:r>
      <w:r>
        <w:rPr>
          <w:rFonts w:asciiTheme="minorHAnsi" w:hAnsiTheme="minorHAnsi"/>
        </w:rPr>
        <w:t>. Los resultados confirman que la asociación es real en las tres escalas y que decrece sistemáticamente al ampliar la ventana temporal: V = 0,355 (S), V = 0,229 (M) y V = 0,194 (L), sobre 83.892 eventos. Las letras del vocabulario nocturno llevan carga fisiológica, no son etiquetas arbitrarias, pero esa carga disminuye al pasar de microdinámica a arquitectura global. El riesgo relativo (</w:t>
      </w:r>
      <w:r>
        <w:rPr>
          <w:rFonts w:asciiTheme="minorHAnsi" w:hAnsiTheme="minorHAnsi"/>
          <w:b/>
          <w:bCs/>
        </w:rPr>
        <w:t>RR</w:t>
      </w:r>
      <w:r>
        <w:rPr>
          <w:rFonts w:asciiTheme="minorHAnsi" w:hAnsiTheme="minorHAnsi"/>
        </w:rPr>
        <w:t>) de evento severo cuantifica la magnitud de esta asociación: tomando como referencia la prevalencia global de morfotipos severos en el corpus (5,97 %), ciertos estados la elevan hasta 4–5 veces, mientras que otros la reducen por debajo del 2 % (Tabla 6.2).</w:t>
      </w:r>
    </w:p>
    <w:p w14:paraId="1CA66095"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6.2. Riesgo relativo de evento severo según estado PAC patológico (83.892 eventos).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900"/>
        <w:gridCol w:w="2000"/>
        <w:gridCol w:w="1800"/>
      </w:tblGrid>
      <w:tr w:rsidR="00A9687A" w:rsidRPr="00D639C0" w14:paraId="3B182AF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D3F95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10C86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 de mayor riesgo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E4A7C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P(severo) marginal</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04618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P(severo | estado)</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1DECF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RR</w:t>
            </w:r>
          </w:p>
        </w:tc>
      </w:tr>
      <w:tr w:rsidR="00A9687A" w:rsidRPr="00D639C0" w14:paraId="339D06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586A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C43C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04A1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6007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28,1 %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C6EA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4,70×</w:t>
            </w:r>
          </w:p>
        </w:tc>
      </w:tr>
      <w:tr w:rsidR="00A9687A" w:rsidRPr="00D639C0" w14:paraId="59F82E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C920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B489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BF9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E7D2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19,6 %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33C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3,29×</w:t>
            </w:r>
          </w:p>
        </w:tc>
      </w:tr>
      <w:tr w:rsidR="00A9687A" w:rsidRPr="00D639C0" w14:paraId="6DF1D8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A149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5A31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D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2735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11,8 %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0EF1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1,98×</w:t>
            </w:r>
          </w:p>
        </w:tc>
      </w:tr>
    </w:tbl>
    <w:p w14:paraId="7213D29F"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lastRenderedPageBreak/>
        <w:t>Nota. RR = P(severo | estado) / P(severo) marginal. P(severo) marginal = 5,97 % (5.011 eventos C4+C5 / 83.892 totales).</w:t>
      </w:r>
    </w:p>
    <w:p w14:paraId="7D841E69" w14:textId="77777777"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Fig. 6.1 (distribución condicional P(morfotipo|estado)), Fig. 6.2 (riesgo relativo por estado).</w:t>
      </w:r>
    </w:p>
    <w:p w14:paraId="508F9DB3" w14:textId="3BDEFF17"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3E08F710" w14:textId="4E7668B5" w:rsidR="002F607E" w:rsidRP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patológico, calculado en las tres escalas (</w:t>
      </w:r>
      <w:r>
        <w:rPr>
          <w:rFonts w:asciiTheme="minorHAnsi" w:hAnsiTheme="minorHAnsi"/>
          <w:i/>
          <w:iCs/>
        </w:rPr>
        <w:t>ci_s, ci_m, ci_l</w:t>
      </w:r>
      <w:r>
        <w:rPr>
          <w:rFonts w:asciiTheme="minorHAnsi" w:hAnsiTheme="minorHAnsi"/>
        </w:rPr>
        <w:t xml:space="preserve">). A diferencia de la fracción de eventos severos, que solo cuenta cuántos ocurrieron, </w:t>
      </w:r>
      <w:r>
        <w:rPr>
          <w:rFonts w:asciiTheme="minorHAnsi" w:hAnsiTheme="minorHAnsi"/>
          <w:b/>
          <w:bCs/>
        </w:rPr>
        <w:t>el CI pregunta en qué contexto dinámico ocurrieron</w:t>
      </w:r>
      <w:r>
        <w:rPr>
          <w:rFonts w:asciiTheme="minorHAnsi" w:hAnsiTheme="minorHAnsi"/>
        </w:rPr>
        <w:t>: no es lo mismo que todos los eventos severos de una noche sucedan cuando el sistema está en estado de alta carga que cuando ocurren dispersos en estados de baja carga.</w:t>
      </w:r>
    </w:p>
    <w:p w14:paraId="72DCDC8F" w14:textId="1B10BB93" w:rsidR="002F607E" w:rsidRPr="002F607E" w:rsidRDefault="002F607E" w:rsidP="002F607E">
      <w:pPr>
        <w:pStyle w:val="font-claude-response-body"/>
        <w:spacing w:line="360" w:lineRule="auto"/>
        <w:jc w:val="both"/>
        <w:rPr>
          <w:rFonts w:asciiTheme="minorHAnsi" w:hAnsiTheme="minorHAnsi"/>
        </w:rPr>
      </w:pPr>
      <w:r>
        <w:rPr>
          <w:rFonts w:asciiTheme="minorHAnsi" w:hAnsiTheme="minorHAnsi"/>
        </w:rPr>
        <w:t xml:space="preserve">El hallazgo más relevante es que no se observa correlación lineal entre </w:t>
      </w:r>
      <w:r>
        <w:rPr>
          <w:rFonts w:asciiTheme="minorHAnsi" w:hAnsiTheme="minorHAnsi"/>
          <w:b/>
          <w:bCs/>
        </w:rPr>
        <w:t>ci_s</w:t>
      </w:r>
      <w:r>
        <w:rPr>
          <w:rFonts w:asciiTheme="minorHAnsi" w:hAnsiTheme="minorHAnsi"/>
        </w:rPr>
        <w:t xml:space="preserve"> y </w:t>
      </w:r>
      <w:r>
        <w:rPr>
          <w:rFonts w:asciiTheme="minorHAnsi" w:hAnsiTheme="minorHAnsi"/>
          <w:b/>
          <w:bCs/>
        </w:rPr>
        <w:t>ci_m</w:t>
      </w:r>
      <w:r>
        <w:rPr>
          <w:rFonts w:asciiTheme="minorHAnsi" w:hAnsiTheme="minorHAnsi"/>
        </w:rPr>
        <w:t xml:space="preserve"> siendo prácticamente independientes (</w:t>
      </w:r>
      <w:r>
        <w:rPr>
          <w:rFonts w:asciiTheme="minorHAnsi" w:hAnsiTheme="minorHAnsi"/>
          <w:i/>
          <w:iCs/>
        </w:rPr>
        <w:t>r = 0,066</w:t>
      </w:r>
      <w:r>
        <w:rPr>
          <w:rFonts w:asciiTheme="minorHAnsi" w:hAnsiTheme="minorHAnsi"/>
        </w:rPr>
        <w:t xml:space="preserve">). Que en una noche los eventos severos se concentren en estados patológicos de 30 s no garantiza que esos mismos momentos sean también patológicos vistos desde una ventana de 5 minutos; las dos escalas recortan el tiempo de forma distinta y capturan dimensiones distintas del contexto fisiológico. La correlación moderada entre </w:t>
      </w:r>
      <w:r>
        <w:rPr>
          <w:rFonts w:asciiTheme="minorHAnsi" w:hAnsiTheme="minorHAnsi"/>
          <w:b/>
          <w:bCs/>
        </w:rPr>
        <w:t>ci_m</w:t>
      </w:r>
      <w:r>
        <w:rPr>
          <w:rFonts w:asciiTheme="minorHAnsi" w:hAnsiTheme="minorHAnsi"/>
        </w:rPr>
        <w:t xml:space="preserve"> y </w:t>
      </w:r>
      <w:r>
        <w:rPr>
          <w:rFonts w:asciiTheme="minorHAnsi" w:hAnsiTheme="minorHAnsi"/>
          <w:b/>
          <w:bCs/>
        </w:rPr>
        <w:t>ci_l</w:t>
      </w:r>
      <w:r>
        <w:rPr>
          <w:rFonts w:asciiTheme="minorHAnsi" w:hAnsiTheme="minorHAnsi"/>
        </w:rPr>
        <w:t xml:space="preserve"> (</w:t>
      </w:r>
      <w:r>
        <w:rPr>
          <w:rFonts w:asciiTheme="minorHAnsi" w:hAnsiTheme="minorHAnsi"/>
          <w:i/>
          <w:iCs/>
        </w:rPr>
        <w:t>r = 0,291</w:t>
      </w:r>
      <w:r>
        <w:rPr>
          <w:rFonts w:asciiTheme="minorHAnsi" w:hAnsiTheme="minorHAnsi"/>
        </w:rPr>
        <w:t>) tiene sentido: 5 min y 30 min comparten más contexto temporal que 30 s y 5 min, y por eso se mueven algo más juntas. En conjunto, la baja correlación entre escalas justifica el uso combinado de las tres métricas en los modelos predictivos sin riesgo de multicolinealidad.</w:t>
      </w:r>
    </w:p>
    <w:p w14:paraId="49D2F467"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5DBFBE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F6ECA8"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E1CFA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E9409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EEC4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D4A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0BFF19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CB25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2045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CCCC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7D17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BBBC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744723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258C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3DDB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DD47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D37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7676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4926BE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F3A1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566D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2D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861F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2AEC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6E72FAD7"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Estados patológicos definidos como los estados cuya tasa de eventos C4+C5 supera la mediana del corpus.</w:t>
      </w:r>
    </w:p>
    <w:p w14:paraId="4C0DFCAC" w14:textId="77777777"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Fig. 6.3 (coupling index por escala), Fig. 6.4c (dos noches con ODI3 idéntico y CI opuesto).</w:t>
      </w:r>
    </w:p>
    <w:p w14:paraId="4FA321FC" w14:textId="0A3A817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155AB7B3" w14:textId="77777777" w:rsidR="00CB29B7" w:rsidRDefault="00876E61" w:rsidP="00D639C0">
      <w:pPr>
        <w:spacing w:after="200" w:line="360" w:lineRule="auto"/>
        <w:jc w:val="both"/>
      </w:pPr>
      <w:r>
        <w:rPr>
          <w:rFonts w:asciiTheme="minorHAnsi" w:hAnsiTheme="minorHAnsi"/>
        </w:rPr>
        <w:t xml:space="preserve">El análisis de la dinámica temporal posterior a eventos severos revela que el sistema fisiológico se recupera con distinta velocidad según la escala con que se observe, esto es lo que se denomina </w:t>
      </w:r>
      <w:r>
        <w:rPr>
          <w:rFonts w:asciiTheme="minorHAnsi" w:hAnsiTheme="minorHAnsi"/>
          <w:i/>
          <w:iCs/>
        </w:rPr>
        <w:t>resiliencia</w:t>
      </w:r>
      <w:r>
        <w:rPr>
          <w:rFonts w:asciiTheme="minorHAnsi" w:hAnsiTheme="minorHAnsi"/>
        </w:rPr>
        <w:t xml:space="preserve">: en la </w:t>
      </w:r>
      <w:r>
        <w:rPr>
          <w:rFonts w:asciiTheme="minorHAnsi" w:hAnsiTheme="minorHAnsi"/>
          <w:b/>
          <w:bCs/>
        </w:rPr>
        <w:t>escala S</w:t>
      </w:r>
      <w:r>
        <w:rPr>
          <w:rFonts w:asciiTheme="minorHAnsi" w:hAnsiTheme="minorHAnsi"/>
        </w:rPr>
        <w:t xml:space="preserve"> (30 s) muestra alta resiliencia, retornando rápidamente a un estado no patológico; en la </w:t>
      </w:r>
      <w:r>
        <w:rPr>
          <w:rFonts w:asciiTheme="minorHAnsi" w:hAnsiTheme="minorHAnsi"/>
          <w:b/>
          <w:bCs/>
        </w:rPr>
        <w:t>escala M</w:t>
      </w:r>
      <w:r>
        <w:rPr>
          <w:rFonts w:asciiTheme="minorHAnsi" w:hAnsiTheme="minorHAnsi"/>
        </w:rPr>
        <w:t xml:space="preserve"> (5 min) la recuperación es más lenta; y en la </w:t>
      </w:r>
      <w:r>
        <w:rPr>
          <w:rFonts w:asciiTheme="minorHAnsi" w:hAnsiTheme="minorHAnsi"/>
          <w:b/>
          <w:bCs/>
        </w:rPr>
        <w:t>escala L</w:t>
      </w:r>
      <w:r>
        <w:rPr>
          <w:rFonts w:asciiTheme="minorHAnsi" w:hAnsiTheme="minorHAnsi"/>
        </w:rPr>
        <w:t xml:space="preserve"> (30 min) predomina la persistencia; el sistema tiende a permanecer en el estado patológico dentro de la misma ventana. Cuanto más amplia es la lente temporal, menor es la resiliencia observada (Tabla 6.4).</w:t>
      </w:r>
      <w:r>
        <w:t xml:space="preserve"> </w:t>
      </w:r>
    </w:p>
    <w:p w14:paraId="754A1462" w14:textId="77777777" w:rsidR="00CD7DAA" w:rsidRPr="00D639C0" w:rsidRDefault="00CD7DAA" w:rsidP="00CD7DAA">
      <w:pPr>
        <w:spacing w:before="200" w:after="60" w:line="360" w:lineRule="auto"/>
        <w:rPr>
          <w:rFonts w:asciiTheme="minorHAnsi" w:hAnsiTheme="minorHAnsi"/>
        </w:rPr>
      </w:pPr>
      <w:r>
        <w:rPr>
          <w:rFonts w:asciiTheme="minorHAnsi" w:hAnsiTheme="minorHAnsi"/>
          <w:b/>
          <w:bCs/>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CA34F0" w:rsidRPr="00D639C0" w14:paraId="407DD0F4" w14:textId="5A845B2C" w:rsidTr="00CA34F0">
        <w:tblPrEx>
          <w:tblCellMar>
            <w:top w:w="0" w:type="dxa"/>
            <w:bottom w:w="0" w:type="dxa"/>
          </w:tblCellMar>
        </w:tblPrEx>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FCDB74"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7BC18A"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BCA126"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7F1CB9"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AA9355" w14:textId="4F276B43" w:rsidR="00CA34F0" w:rsidRPr="00D639C0" w:rsidRDefault="00CA34F0" w:rsidP="00CA34F0">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CA34F0" w:rsidRPr="00D639C0" w14:paraId="67B319C0" w14:textId="04E2F062"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60220"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C452B"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374B"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42CB0"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112CA48A" w14:textId="63C0EAF4"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CA34F0" w:rsidRPr="00D639C0" w14:paraId="489F233A" w14:textId="78B0F9CD"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FD555"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7FE02"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894A7"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BA328"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386C2C1A" w14:textId="6FD1EEBE"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7,3%</w:t>
            </w:r>
          </w:p>
        </w:tc>
      </w:tr>
      <w:tr w:rsidR="00CA34F0" w:rsidRPr="00D639C0" w14:paraId="6B543629" w14:textId="28E4BA3D"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73EEA"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55E7D"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6C631" w14:textId="5B4B9C7B" w:rsidR="00CA34F0" w:rsidRPr="00D639C0" w:rsidRDefault="00CA34F0"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E050A"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69C97300" w14:textId="7B028ABF"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8AEA175" w14:textId="12424BC9" w:rsidR="00CD7DAA" w:rsidRPr="00D639C0" w:rsidRDefault="00CD7DAA" w:rsidP="00CD7DAA">
      <w:pPr>
        <w:spacing w:after="100" w:line="360" w:lineRule="auto"/>
        <w:jc w:val="both"/>
        <w:rPr>
          <w:rFonts w:asciiTheme="minorHAnsi" w:hAnsiTheme="minorHAnsi"/>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65CC9A58" w14:textId="603C7798" w:rsidR="00CD7DAA" w:rsidRPr="00CD7DAA" w:rsidRDefault="00CD7DAA" w:rsidP="00CD7DAA">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6.5 (matrices de transición Markovianas por escala).</w:t>
      </w:r>
    </w:p>
    <w:p w14:paraId="56C13D88" w14:textId="2331D319" w:rsidR="007B0DF7" w:rsidRPr="007B0DF7" w:rsidRDefault="007B0DF7" w:rsidP="007B0DF7">
      <w:pPr>
        <w:pStyle w:val="font-claude-response-body"/>
        <w:spacing w:line="360" w:lineRule="auto"/>
        <w:jc w:val="both"/>
        <w:rPr>
          <w:rFonts w:asciiTheme="minorHAnsi" w:hAnsiTheme="minorHAnsi"/>
        </w:rPr>
      </w:pPr>
      <w:r>
        <w:rPr>
          <w:rFonts w:asciiTheme="minorHAnsi" w:hAnsiTheme="minorHAnsi"/>
        </w:rPr>
        <w:lastRenderedPageBreak/>
        <w:t xml:space="preserve">Para entender estos números hay que imaginar qué ocurre después de cada evento severo. En la </w:t>
      </w:r>
      <w:r>
        <w:rPr>
          <w:rFonts w:asciiTheme="minorHAnsi" w:hAnsiTheme="minorHAnsi"/>
          <w:b/>
          <w:bCs/>
        </w:rPr>
        <w:t>escala S</w:t>
      </w:r>
      <w:r>
        <w:rPr>
          <w:rFonts w:asciiTheme="minorHAnsi" w:hAnsiTheme="minorHAnsi"/>
        </w:rPr>
        <w:t xml:space="preserve"> (mirando ventanas de 30 segundos) el sistema se recupera: en el 43,3 % de los casos, el estado patológico activo en el momento del evento severo es seguido por un estado protector. Es como un golpe que el organismo absorbe y de cuya tensión se recupera en segundos.</w:t>
      </w:r>
    </w:p>
    <w:p w14:paraId="4E6269DD" w14:textId="2B15867E" w:rsidR="007B0DF7" w:rsidRPr="007B0DF7" w:rsidRDefault="007B0DF7" w:rsidP="007B0DF7">
      <w:pPr>
        <w:pStyle w:val="font-claude-response-body"/>
        <w:spacing w:line="360" w:lineRule="auto"/>
        <w:jc w:val="both"/>
        <w:rPr>
          <w:rFonts w:asciiTheme="minorHAnsi" w:hAnsiTheme="minorHAnsi"/>
        </w:rPr>
      </w:pPr>
      <w:r>
        <w:rPr>
          <w:rFonts w:asciiTheme="minorHAnsi" w:hAnsiTheme="minorHAnsi"/>
        </w:rPr>
        <w:t xml:space="preserve">En la </w:t>
      </w:r>
      <w:r>
        <w:rPr>
          <w:rFonts w:asciiTheme="minorHAnsi" w:hAnsiTheme="minorHAnsi"/>
          <w:b/>
          <w:bCs/>
        </w:rPr>
        <w:t>escala M</w:t>
      </w:r>
      <w:r>
        <w:rPr>
          <w:rFonts w:asciiTheme="minorHAnsi" w:hAnsiTheme="minorHAnsi"/>
        </w:rPr>
        <w:t xml:space="preserve"> la historia cambia: solo el 12,3 % de esos eventos severos ocurre en un bloque de 5 minutos que luego transita hacia un estado protector. La mayor parte de las veces, el sistema queda en zona de riesgo; y en la </w:t>
      </w:r>
      <w:r>
        <w:rPr>
          <w:rFonts w:asciiTheme="minorHAnsi" w:hAnsiTheme="minorHAnsi"/>
          <w:b/>
          <w:bCs/>
        </w:rPr>
        <w:t>escala L</w:t>
      </w:r>
      <w:r>
        <w:rPr>
          <w:rFonts w:asciiTheme="minorHAnsi" w:hAnsiTheme="minorHAnsi"/>
        </w:rPr>
        <w:t xml:space="preserve"> (mirando la arquitectura de la noche en bloques de 30 minutos) la recuperación es prácticamente inexistente: apenas el 1,3 %.</w:t>
      </w:r>
    </w:p>
    <w:p w14:paraId="30842CDC" w14:textId="482BC71D" w:rsidR="007B0DF7" w:rsidRDefault="007B0DF7" w:rsidP="007B0DF7">
      <w:pPr>
        <w:pStyle w:val="font-claude-response-body"/>
        <w:spacing w:line="360" w:lineRule="auto"/>
        <w:jc w:val="both"/>
        <w:rPr>
          <w:rFonts w:asciiTheme="minorHAnsi" w:hAnsiTheme="minorHAnsi"/>
        </w:rPr>
      </w:pPr>
      <w:r>
        <w:rPr>
          <w:rFonts w:asciiTheme="minorHAnsi" w:hAnsiTheme="minorHAnsi"/>
        </w:rPr>
        <w:t xml:space="preserve">¿Por qué ocurre esto? La dinámica Markoviana de la </w:t>
      </w:r>
      <w:r>
        <w:rPr>
          <w:rFonts w:asciiTheme="minorHAnsi" w:hAnsiTheme="minorHAnsi"/>
          <w:b/>
          <w:bCs/>
        </w:rPr>
        <w:t>escala M</w:t>
      </w:r>
      <w:r>
        <w:rPr>
          <w:rFonts w:asciiTheme="minorHAnsi" w:hAnsiTheme="minorHAnsi"/>
        </w:rPr>
        <w:t xml:space="preserve"> lo explica. </w:t>
      </w:r>
      <w:r>
        <w:rPr>
          <w:rFonts w:asciiTheme="minorHAnsi" w:hAnsiTheme="minorHAnsi"/>
          <w:b/>
          <w:bCs/>
        </w:rPr>
        <w:t>M3</w:t>
      </w:r>
      <w:r>
        <w:rPr>
          <w:rFonts w:asciiTheme="minorHAnsi" w:hAnsiTheme="minorHAnsi"/>
        </w:rPr>
        <w:t xml:space="preserve">, un estado de carga intermedia, actúa como antesala de </w:t>
      </w:r>
      <w:r>
        <w:rPr>
          <w:rFonts w:asciiTheme="minorHAnsi" w:hAnsiTheme="minorHAnsi"/>
          <w:b/>
          <w:bCs/>
        </w:rPr>
        <w:t>M1</w:t>
      </w:r>
      <w:r>
        <w:rPr>
          <w:rFonts w:asciiTheme="minorHAnsi" w:hAnsiTheme="minorHAnsi"/>
        </w:rPr>
        <w:t xml:space="preserve">: la transición M3→M1 es sistemática y conduce al estado de mayor riesgo del sistema (RR = 3,29). Una vez en M1, el sistema tiende a quedarse: M1 tiene la probabilidad de autotransición más alta de toda la escala M, lo que significa que en el próximo bloque de 5 minutos es más probable seguir en M1 que salir. Hay una puerta de entrada fácil y una salida difícil. Esa inercia es lo que, vista desde la </w:t>
      </w:r>
      <w:r>
        <w:rPr>
          <w:rFonts w:asciiTheme="minorHAnsi" w:hAnsiTheme="minorHAnsi"/>
          <w:b/>
          <w:bCs/>
        </w:rPr>
        <w:t>escala L</w:t>
      </w:r>
      <w:r>
        <w:rPr>
          <w:rFonts w:asciiTheme="minorHAnsi" w:hAnsiTheme="minorHAnsi"/>
        </w:rPr>
        <w:t>, se manifiesta como colapso de la resiliencia nocturna.</w:t>
      </w:r>
    </w:p>
    <w:p w14:paraId="3396C5EF" w14:textId="2B4CEFB0" w:rsidR="007B0DF7" w:rsidRDefault="007B0DF7" w:rsidP="00D639C0">
      <w:pPr>
        <w:spacing w:before="200" w:after="60" w:line="360" w:lineRule="auto"/>
      </w:pPr>
      <w:r>
        <w:t xml:space="preserve">La cadena de deterioro nocturno seguiría entonces el recorrido: M0/M2 (protector) → M4 (moderado) → M3 (antesala) → M1 (severo, sin retorno fácil).</w:t>
      </w:r>
    </w:p>
    <w:p w14:paraId="7BCF371B" w14:textId="5211A74A" w:rsidR="007B0DF7" w:rsidRDefault="007B0DF7" w:rsidP="00D639C0">
      <w:pPr>
        <w:spacing w:before="200" w:after="60" w:line="360" w:lineRule="auto"/>
        <w:rPr>
          <w:rFonts w:asciiTheme="minorHAnsi" w:hAnsiTheme="minorHAnsi"/>
          <w:b/>
          <w:bCs/>
          <w:sz w:val="20"/>
          <w:szCs w:val="20"/>
        </w:rPr>
      </w:pPr>
      <w:r>
        <w:rPr>
          <w:rFonts w:asciiTheme="minorHAnsi" w:hAnsiTheme="minorHAnsi"/>
          <w:b/>
          <w:bCs/>
          <w:sz w:val="20"/>
          <w:szCs w:val="20"/>
        </w:rPr>
        <w:drawing>
          <wp:inline distT="0" distB="0" distL="0" distR="0" wp14:anchorId="221B2842" wp14:editId="426DE370">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7"/>
                    <a:stretch>
                      <a:fillRect/>
                    </a:stretch>
                  </pic:blipFill>
                  <pic:spPr>
                    <a:xfrm>
                      <a:off x="0" y="0"/>
                      <a:ext cx="5999198" cy="1059606"/>
                    </a:xfrm>
                    <a:prstGeom prst="rect">
                      <a:avLst/>
                    </a:prstGeom>
                  </pic:spPr>
                </pic:pic>
              </a:graphicData>
            </a:graphic>
          </wp:inline>
        </w:drawing>
      </w:r>
    </w:p>
    <w:p w14:paraId="6585A931" w14:textId="7453C82E"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2FC831F1" w14:textId="77777777"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(Tabla 6.5). </w:t>
      </w:r>
    </w:p>
    <w:p w14:paraId="05A9C1EF" w14:textId="46416092"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74F29E2C" w14:textId="77777777" w:rsidTr="00E72CB4">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81B1C8"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lastRenderedPageBreak/>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8E3C31"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A80B47"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C576C9"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6AEE9D"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50BE9A"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ACCAF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8E9D3CD"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AEC5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A27F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BFE7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D8C2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73A4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2B1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8791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36F36F81"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F29A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DBEC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C298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5FCA"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74E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E249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FC0C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6525B214"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9803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82AA6"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9016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7202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8AB2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A686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43FF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20AE7935" w14:textId="7F6C8CE2"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143697EA" w14:textId="200F20DD" w:rsidR="007C078B" w:rsidRPr="007C078B" w:rsidRDefault="007C078B" w:rsidP="007C078B">
      <w:pPr>
        <w:pStyle w:val="font-claude-response-body"/>
        <w:spacing w:line="360" w:lineRule="auto"/>
        <w:jc w:val="both"/>
        <w:rPr>
          <w:rFonts w:asciiTheme="minorHAnsi" w:hAnsiTheme="minorHAnsi"/>
        </w:rPr>
      </w:pPr>
      <w:r>
        <w:rPr>
          <w:rFonts w:asciiTheme="minorHAnsi" w:hAnsiTheme="minorHAnsi"/>
        </w:rPr>
        <w:t>La tabla 6.5 muestra seis características para cada fenotipo. Las dos primeras, fracción de tiempo en M1 (severo) y M3 (antesala), indican cuánto de la noche transcurrió en cada estado: una noche con carga hipóxica alta (</w:t>
      </w:r>
      <w:r>
        <w:rPr>
          <w:rFonts w:asciiTheme="minorHAnsi" w:hAnsiTheme="minorHAnsi"/>
          <w:b/>
          <w:bCs/>
        </w:rPr>
        <w:t>CHA)</w:t>
      </w:r>
      <w:r>
        <w:rPr>
          <w:rFonts w:asciiTheme="minorHAnsi" w:hAnsiTheme="minorHAnsi"/>
        </w:rPr>
        <w:t xml:space="preserve"> pasa el 78,1 % en M1, mientras que una Estable-Protector apenas el 2,5 %. El porcentaje de eventos severos muestra que en CHA casi 4 de cada 10 eventos son C4 o C5 (morfotipo de evento), frente a 3 de cada 100 en Estable-Protector. El ARI mediano refleja la reactividad autonómica promedio de la noche. Las transiciones M cuentan cuántas veces el sistema cambió de estado durante la noche: CHA registra solo 6, frente a las 43 de Carga Intermedia; entra en M1 y prácticamente no sale. La entropía M mide cuán distribuido estuvo el tiempo entre los distintos estados: baja entropía significa que un estado dominó la noche; alta entropía, que la noche alternó entre varios. En CHA ambas métricas convergen: pocas transiciones y baja entropía confirman que la noche fue monótonamente severa, no un conjunto de episodios aislados.</w:t>
      </w:r>
    </w:p>
    <w:p w14:paraId="53B8A7CC" w14:textId="39486C48" w:rsidR="00A9687A" w:rsidRPr="00D639C0" w:rsidRDefault="007D62B0" w:rsidP="00D639C0">
      <w:pPr>
        <w:spacing w:after="200" w:line="360" w:lineRule="auto"/>
        <w:jc w:val="both"/>
        <w:rPr>
          <w:rFonts w:asciiTheme="minorHAnsi" w:hAnsiTheme="minorHAnsi"/>
        </w:rPr>
      </w:pPr>
      <w:r>
        <w:rPr>
          <w:rFonts w:asciiTheme="minorHAnsi" w:hAnsiTheme="minorHAnsi"/>
        </w:rPr>
        <w:t>El hallazgo clave es que CHA, dominado por el estado M1 (78,1 %) con ARI mediano de 0,284, aparece predominantemente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reside en la dominancia sostenida del estado M1, un matiz que el conteo de eventos no captura. El ARI es prácticamente invariante entre fenotipos (diferencia máxima &lt; 0,25 entre extremos), confirmando su independencia respecto a la arquitectura de severidad dinámica.</w:t>
      </w:r>
    </w:p>
    <w:p w14:paraId="46CE856A" w14:textId="77777777" w:rsidR="002F7285" w:rsidRPr="002F7285" w:rsidRDefault="002F7285" w:rsidP="002F7285">
      <w:pPr>
        <w:pStyle w:val="Ttulo2"/>
      </w:pPr>
      <w:r>
        <w:lastRenderedPageBreak/>
        <w:t>6.6 Importancia predictiva de las features PAC: ablación LOPO-CV</w:t>
      </w:r>
    </w:p>
    <w:p w14:paraId="7BE100AE" w14:textId="715F6334" w:rsidR="002F7285" w:rsidRPr="002F7285" w:rsidRDefault="002F7285" w:rsidP="002F7285">
      <w:pPr>
        <w:pStyle w:val="NormalWeb"/>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01E416DD" w14:textId="550F5DEB" w:rsidR="002F7285" w:rsidRPr="002F7285" w:rsidRDefault="002F7285" w:rsidP="002F7285">
      <w:pPr>
        <w:pStyle w:val="NormalWeb"/>
        <w:spacing w:line="360" w:lineRule="auto"/>
        <w:jc w:val="both"/>
        <w:rPr>
          <w:rFonts w:asciiTheme="minorHAnsi" w:hAnsiTheme="minorHAnsi"/>
        </w:rPr>
      </w:pPr>
      <w:r>
        <w:rPr>
          <w:rFonts w:asciiTheme="minorHAnsi" w:hAnsiTheme="minorHAnsi"/>
        </w:rPr>
        <w:t xml:space="preserve">Los estados PAC concentran el 44,8 % de la importancia Gini total, seguidos por los morfotipos (20,6 %) y la dinámica PAC (14,7 %). El modelo basado exclusivamente en estados PAC y dinámica PAC alcanza una </w:t>
      </w:r>
      <w:r>
        <w:rPr>
          <w:rStyle w:val="nfasis"/>
          <w:rFonts w:asciiTheme="minorHAnsi" w:hAnsiTheme="minorHAnsi"/>
        </w:rPr>
        <w:t>balanced accuracy</w:t>
      </w:r>
      <w:r>
        <w:rPr>
          <w:rFonts w:asciiTheme="minorHAnsi" w:hAnsiTheme="minorHAnsi"/>
        </w:rPr>
        <w:t xml:space="preserve"> de 0,521 ± 0,218, superando al modelo basado en índices clínicos convencionales (ODI3, T90, HB₃; 0,354 ± 0,294) y confirmando el valor predictivo autónomo de las representaciones PAC. El modelo basado exclusivamente en el ARI obtiene la </w:t>
      </w:r>
      <w:r>
        <w:rPr>
          <w:rStyle w:val="nfasis"/>
          <w:rFonts w:asciiTheme="minorHAnsi" w:hAnsiTheme="minorHAnsi"/>
        </w:rPr>
        <w:t>balanced accuracy</w:t>
      </w:r>
      <w:r>
        <w:rPr>
          <w:rFonts w:asciiTheme="minorHAnsi" w:hAnsiTheme="minorHAnsi"/>
        </w:rPr>
        <w:t xml:space="preserve"> más baja (0,281 ± 0,150), coherente con su ortogonalidad respecto a la severidad: el ARI mide una dimensión fisiológica distinta de la categoría AASM, no un predictor lineal de ella.</w:t>
      </w:r>
    </w:p>
    <w:p w14:paraId="4B0FD2C4"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A9687A" w:rsidRPr="00D639C0" w14:paraId="2446414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157867"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8E10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9DD30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B5E60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 sobre total</w:t>
            </w:r>
          </w:p>
        </w:tc>
      </w:tr>
      <w:tr w:rsidR="00A9687A" w:rsidRPr="00D639C0" w14:paraId="52DC4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3D8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D0E4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8D1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4F4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44,8 %</w:t>
            </w:r>
          </w:p>
        </w:tc>
      </w:tr>
      <w:tr w:rsidR="00A9687A" w:rsidRPr="00D639C0" w14:paraId="7B42B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C5F6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40A0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220D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82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20,6 %</w:t>
            </w:r>
          </w:p>
        </w:tc>
      </w:tr>
      <w:tr w:rsidR="00A9687A" w:rsidRPr="00D639C0" w14:paraId="42FE8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022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418B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3EA3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CDE0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14,7 %</w:t>
            </w:r>
          </w:p>
        </w:tc>
      </w:tr>
      <w:tr w:rsidR="00A9687A" w:rsidRPr="00D639C0" w14:paraId="259032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DC80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ECAE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A88A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A851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10,2 %</w:t>
            </w:r>
          </w:p>
        </w:tc>
      </w:tr>
      <w:tr w:rsidR="00A9687A" w:rsidRPr="00D639C0" w14:paraId="28D60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E10F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EDED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73CD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5C5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6,8 %</w:t>
            </w:r>
          </w:p>
        </w:tc>
      </w:tr>
      <w:tr w:rsidR="00A9687A" w:rsidRPr="00D639C0" w14:paraId="103B2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8262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D9E0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390C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5611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3,4 %</w:t>
            </w:r>
          </w:p>
        </w:tc>
      </w:tr>
    </w:tbl>
    <w:p w14:paraId="4784CDC9"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Importancia Gini promediada sobre 8 folds LOPO-CV. 540 noches, 8 pacientes.</w:t>
      </w:r>
    </w:p>
    <w:p w14:paraId="4CD784BD" w14:textId="1D88BD22" w:rsidR="00A9687A" w:rsidRPr="00D639C0" w:rsidRDefault="00000000" w:rsidP="00D639C0">
      <w:pPr>
        <w:pStyle w:val="Ttulo2"/>
        <w:spacing w:line="360" w:lineRule="auto"/>
        <w:rPr>
          <w:rFonts w:asciiTheme="minorHAnsi" w:hAnsiTheme="minorHAnsi"/>
        </w:rPr>
      </w:pPr>
      <w:r>
        <w:rPr>
          <w:rFonts w:asciiTheme="minorHAnsi" w:hAnsiTheme="minorHAnsi"/>
        </w:rPr>
        <w:t>6.7  Modelo predictivo a nivel de evento</w:t>
      </w:r>
    </w:p>
    <w:p w14:paraId="683663F4" w14:textId="502D61EF" w:rsidR="004C3724" w:rsidRDefault="004C3724" w:rsidP="00D639C0">
      <w:pPr>
        <w:spacing w:after="200" w:line="360" w:lineRule="auto"/>
        <w:jc w:val="both"/>
      </w:pPr>
      <w:r>
        <w:rPr>
          <w:rFonts w:asciiTheme="minorHAnsi" w:hAnsiTheme="minorHAnsi"/>
        </w:rPr>
        <w:t xml:space="preserve">El modelo de predicción de evento severo estima la probabilidad de que un EDO individual sea morfológicamente severo (C4 o C5). Para hacerlo, no mira el evento en sí sino lo que ocurrió antes: acumula información de los eventos previos de la noche </w:t>
        <w:lastRenderedPageBreak/>
        <w:t>y del estado PAC activo en una ventana de aproximadamente 5 minutos (el horizonte temporal equivalente a la escala M) y con eso estima el riesgo del próximo evento.</w:t>
      </w:r>
    </w:p>
    <w:p w14:paraId="34C9C444" w14:textId="10CE259A" w:rsidR="004C3724" w:rsidRDefault="00000000" w:rsidP="004C3724">
      <w:pPr>
        <w:spacing w:after="200" w:line="360" w:lineRule="auto"/>
        <w:jc w:val="both"/>
        <w:rPr>
          <w:rFonts w:asciiTheme="minorHAnsi" w:hAnsiTheme="minorHAnsi"/>
        </w:rPr>
      </w:pPr>
      <w:r>
        <w:rPr>
          <w:rFonts w:asciiTheme="minorHAnsi" w:hAnsiTheme="minorHAnsi"/>
        </w:rPr>
        <w:t xml:space="preserve">Sobre 76.053 eventos (prevalencia de clase positiva: 5,57 %), el LightGBM mejoró sustancialmente sobre la regresión logística basal: AUC = 0,878 vs. 0,743; precisión promedio (AP, Average Precision) = 0,240 vs. 0,164 (Tabla 6.7). El rango de AUC entre folds (0,798–0,964) indica consistencia entre pacientes. Las features más predictivas son los contextos acumulados: </w:t>
      </w:r>
      <w:r>
        <w:rPr>
          <w:rFonts w:asciiTheme="minorHAnsi" w:hAnsiTheme="minorHAnsi"/>
          <w:i/>
          <w:iCs/>
          <w:i/>
          <w:iCs/>
        </w:rPr>
        <w:t>event_position</w:t>
      </w:r>
      <w:r>
        <w:rPr>
          <w:rFonts w:asciiTheme="minorHAnsi" w:hAnsiTheme="minorHAnsi"/>
        </w:rPr>
        <w:t xml:space="preserve"> (posición en la noche), </w:t>
      </w:r>
      <w:r>
        <w:rPr>
          <w:rFonts w:asciiTheme="minorHAnsi" w:hAnsiTheme="minorHAnsi"/>
          <w:i/>
          <w:iCs/>
          <w:i/>
          <w:iCs/>
        </w:rPr>
        <w:t>recent_morph_mean</w:t>
      </w:r>
      <w:r>
        <w:rPr>
          <w:rFonts w:asciiTheme="minorHAnsi" w:hAnsiTheme="minorHAnsi"/>
        </w:rPr>
        <w:t xml:space="preserve"> (morfotipos recientes), </w:t>
      </w:r>
      <w:r>
        <w:rPr>
          <w:rFonts w:asciiTheme="minorHAnsi" w:hAnsiTheme="minorHAnsi"/>
          <w:i/>
          <w:iCs/>
          <w:i/>
          <w:iCs/>
        </w:rPr>
        <w:t>ci_so_far</w:t>
      </w:r>
      <w:r>
        <w:rPr>
          <w:rFonts w:asciiTheme="minorHAnsi" w:hAnsiTheme="minorHAnsi"/>
        </w:rPr>
        <w:t xml:space="preserve"> (acoplamiento acumulado) y </w:t>
      </w:r>
      <w:r>
        <w:rPr>
          <w:rFonts w:asciiTheme="minorHAnsi" w:hAnsiTheme="minorHAnsi"/>
          <w:i/>
          <w:iCs/>
          <w:i/>
          <w:iCs/>
        </w:rPr>
        <w:t>state_s_enc</w:t>
      </w:r>
      <w:r>
        <w:rPr>
          <w:rFonts w:asciiTheme="minorHAnsi" w:hAnsiTheme="minorHAnsi"/>
        </w:rPr>
        <w:t xml:space="preserve"> (estado S activo): el riesgo de evento severo se lee como acumulación progresiva de deterioro dentro de la noche. Cuando el modelo asigna probabilidades altas a eventos que morfológicamente parecen leves (C1 o C2), no hay contradicción: el contexto fisiológico activo (el estado PAC) y la historia reciente de la noche ya anticiparon el deterioro antes de que el evento individual lo exprese. Es la diferencia entre leer una palabra suelta y leer la oración completa.</w:t>
      </w:r>
    </w:p>
    <w:p w14:paraId="06809B0F" w14:textId="5006ED48"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3E6FA6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94800"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DBDF4B"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12146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A5D1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60B8F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A4983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3EA294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FC15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A07F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0803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4D1E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606D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0C06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5D56AF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F69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1523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C033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50D5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E3FD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4D90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61A7A40F"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774DBD8B" w14:textId="77777777"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6.8 (curvas ROC y Precision-Recall comparativas).</w:t>
      </w:r>
    </w:p>
    <w:p w14:paraId="7C6D857D" w14:textId="4F85484E"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10A70054" w14:textId="504DFF18" w:rsidR="00A9687A" w:rsidRPr="00E70F72"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opera con clasificación binaria: </w:t>
      </w:r>
      <w:r>
        <w:rPr>
          <w:rFonts w:asciiTheme="minorHAnsi" w:hAnsiTheme="minorHAnsi"/>
          <w:i/>
          <w:iCs/>
        </w:rPr>
        <w:t>Normal+Leve</w:t>
      </w:r>
      <w:r>
        <w:rPr>
          <w:rFonts w:asciiTheme="minorHAnsi" w:hAnsiTheme="minorHAnsi"/>
        </w:rPr>
        <w:t xml:space="preserve"> versus </w:t>
      </w:r>
      <w:r>
        <w:rPr>
          <w:rFonts w:asciiTheme="minorHAnsi" w:hAnsiTheme="minorHAnsi"/>
          <w:i/>
          <w:iCs/>
        </w:rPr>
        <w:t>Moderado+Severo</w:t>
      </w:r>
      <w:r>
        <w:rPr>
          <w:rFonts w:asciiTheme="minorHAnsi" w:hAnsiTheme="minorHAnsi"/>
        </w:rPr>
        <w:t>, sobre 540 noches (el 32,0 % clasificadas como Moderado+Severo). En este caso, la regresión logística superó al Random Forest: AUC = 0,874 vs. 0,815; precisión promedio (</w:t>
      </w:r>
      <w:r>
        <w:rPr>
          <w:rFonts w:asciiTheme="minorHAnsi" w:hAnsiTheme="minorHAnsi"/>
          <w:b/>
          <w:bCs/>
        </w:rPr>
        <w:t>AP</w:t>
      </w:r>
      <w:r>
        <w:rPr>
          <w:rFonts w:asciiTheme="minorHAnsi" w:hAnsiTheme="minorHAnsi"/>
        </w:rPr>
        <w:t xml:space="preserve">, </w:t>
      </w:r>
      <w:r>
        <w:rPr>
          <w:rStyle w:val="nfasis"/>
          <w:rFonts w:asciiTheme="minorHAnsi" w:hAnsiTheme="minorHAnsi"/>
        </w:rPr>
        <w:t>Average Precision</w:t>
      </w:r>
      <w:r>
        <w:rPr>
          <w:rFonts w:asciiTheme="minorHAnsi" w:hAnsiTheme="minorHAnsi"/>
        </w:rPr>
        <w:t xml:space="preserve">) = 0,764 vs. 0,649 (Tabla 6.8). </w:t>
      </w:r>
      <w:r>
        <w:rPr>
          <w:rFonts w:asciiTheme="minorHAnsi" w:eastAsia="Arial" w:hAnsiTheme="minorHAnsi" w:cs="Arial"/>
        </w:rPr>
        <w:t xml:space="preserve">Esta superioridad sugiere que, una vez transformadas las señales crudas en </w:t>
      </w:r>
      <w:r>
        <w:rPr>
          <w:rFonts w:asciiTheme="minorHAnsi" w:hAnsiTheme="minorHAnsi"/>
        </w:rPr>
        <w:lastRenderedPageBreak/>
        <w:t>dimensiones</w:t>
      </w:r>
      <w:r>
        <w:rPr>
          <w:rFonts w:asciiTheme="minorHAnsi" w:eastAsia="Arial" w:hAnsiTheme="minorHAnsi" w:cs="Arial"/>
        </w:rPr>
        <w:t xml:space="preserve"> PAC, la separación entre noches de bajo y alto riesgo es aproximadamente lineal</w:t>
      </w:r>
      <w:r>
        <w:rPr>
          <w:rFonts w:asciiTheme="minorHAnsi" w:hAnsiTheme="minorHAnsi"/>
        </w:rPr>
        <w:t xml:space="preserve">; </w:t>
      </w:r>
      <w:r>
        <w:rPr>
          <w:rFonts w:asciiTheme="minorHAnsi" w:eastAsia="Arial" w:hAnsiTheme="minorHAnsi" w:cs="Arial"/>
        </w:rPr>
        <w:t xml:space="preserve">la complejidad fisiológica fue capturada en etapas previas del pipeline. </w:t>
      </w:r>
      <w:r>
        <w:rPr>
          <w:rFonts w:asciiTheme="minorHAnsi" w:hAnsiTheme="minorHAnsi"/>
        </w:rPr>
        <w:t xml:space="preserve">Las dimensiones más influyentes son las fracciones de tiempo en </w:t>
      </w:r>
      <w:r>
        <w:rPr>
          <w:rFonts w:asciiTheme="minorHAnsi" w:hAnsiTheme="minorHAnsi"/>
          <w:b/>
          <w:bCs/>
        </w:rPr>
        <w:t>estados M</w:t>
      </w:r>
      <w:r>
        <w:rPr>
          <w:rFonts w:asciiTheme="minorHAnsi" w:hAnsiTheme="minorHAnsi"/>
        </w:rPr>
        <w:t xml:space="preserve">: cuánto de la noche pasó en </w:t>
      </w:r>
      <w:r>
        <w:rPr>
          <w:rFonts w:asciiTheme="minorHAnsi" w:hAnsiTheme="minorHAnsi"/>
          <w:b/>
          <w:bCs/>
        </w:rPr>
        <w:t>M0, M1, M2 y M3</w:t>
      </w:r>
      <w:r>
        <w:rPr>
          <w:rFonts w:asciiTheme="minorHAnsi" w:hAnsiTheme="minorHAnsi"/>
        </w:rPr>
        <w:t xml:space="preserve"> explica el 69,4 % de la importancia del modelo. Que sean precisamente los estados de </w:t>
      </w:r>
      <w:r>
        <w:rPr>
          <w:rFonts w:asciiTheme="minorHAnsi" w:hAnsiTheme="minorHAnsi"/>
          <w:b/>
          <w:bCs/>
        </w:rPr>
        <w:t>escala M</w:t>
      </w:r>
      <w:r>
        <w:rPr>
          <w:rFonts w:asciiTheme="minorHAnsi" w:hAnsiTheme="minorHAnsi"/>
        </w:rPr>
        <w:t xml:space="preserve">, y no los de </w:t>
      </w:r>
      <w:r>
        <w:rPr>
          <w:rFonts w:asciiTheme="minorHAnsi" w:hAnsiTheme="minorHAnsi"/>
          <w:b/>
          <w:bCs/>
        </w:rPr>
        <w:t xml:space="preserve">escala S </w:t>
      </w:r>
      <w:r>
        <w:rPr>
          <w:rFonts w:asciiTheme="minorHAnsi" w:hAnsiTheme="minorHAnsi"/>
        </w:rPr>
        <w:t>o</w:t>
      </w:r>
      <w:r>
        <w:rPr>
          <w:rFonts w:asciiTheme="minorHAnsi" w:hAnsiTheme="minorHAnsi"/>
          <w:b/>
          <w:bCs/>
        </w:rPr>
        <w:t xml:space="preserve"> L</w:t>
      </w:r>
      <w:r>
        <w:rPr>
          <w:rFonts w:asciiTheme="minorHAnsi" w:hAnsiTheme="minorHAnsi"/>
        </w:rPr>
        <w:t xml:space="preserve">, los que mejor predicen la categoría nocturna es consistente con lo que el Cap 05 mostró: </w:t>
      </w:r>
      <w:r>
        <w:rPr>
          <w:rFonts w:asciiTheme="minorHAnsi" w:hAnsiTheme="minorHAnsi"/>
          <w:b/>
          <w:bCs/>
        </w:rPr>
        <w:t>M1</w:t>
      </w:r>
      <w:r>
        <w:rPr>
          <w:rFonts w:asciiTheme="minorHAnsi" w:hAnsiTheme="minorHAnsi"/>
        </w:rPr>
        <w:t xml:space="preserve"> es el mejor predictor de carga hipóxica acumulada. El modelo no solo funciona, sino que lo hace por las razones fisiológicas correctas.</w:t>
      </w:r>
    </w:p>
    <w:p w14:paraId="71C449FD" w14:textId="5D1BFFC3"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1F0EFD2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5766F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152B4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2B1D90"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19E91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59349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2A20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FA13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99D2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F45C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738F8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9E8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B5A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6A4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1DDD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B673E5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75367EF1" w14:textId="03C8DA31"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6.9 (curvas ROC y Precision-Recall nocturnas).</w:t>
      </w:r>
    </w:p>
    <w:p w14:paraId="46B0ECBF" w14:textId="4156ABC3"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129F3DD4"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El módulo final integra los dos componentes desarrollados en las secciones anteriores (el modelo de predicción de evento severo (§6.7) y el modelo de clasificación nocturna (§6.8)) en el Risk Score PAC (escala 0–100): 40 % del score de evento (probabilidad media LightGBM sobre los EDOs de la noche) y 60 % del score de noche (probabilidad de la regresión logística).</w:t>
      </w:r>
    </w:p>
    <w:p w14:paraId="021399B4"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El componente nocturno recibe mayor peso por su naturaleza global y su menor sensibilidad al ruido de señal en ventanas individuales (Tabla 6.9). La asignación 40/60 es una decisión de diseño no sometida a análisis de sensibilidad formal; la robustez de los pesos ante variaciones en ese rango queda como trabajo pendiente.</w:t>
      </w:r>
    </w:p>
    <w:p w14:paraId="1EBB6CD0" w14:textId="1DC9AE62" w:rsidR="00A9687A" w:rsidRPr="00D639C0" w:rsidRDefault="00F0297D" w:rsidP="00F0297D">
      <w:pPr>
        <w:rPr>
          <w:rFonts w:asciiTheme="minorHAnsi" w:hAnsiTheme="minorHAnsi"/>
        </w:rPr>
      </w:pPr>
      <w:r>
        <w:rPr>
          <w:rFonts w:asciiTheme="minorHAnsi" w:hAnsiTheme="minorHAnsi"/>
        </w:rPr>
        <w:br w:type="page"/>
      </w:r>
    </w:p>
    <w:p w14:paraId="51E05F2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lastRenderedPageBreak/>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30A93A2A" w14:textId="77777777" w:rsidTr="00561E9A">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AF7898"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B22AC0"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1EBED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8B6B88"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692CDB8C" w14:textId="77777777" w:rsidTr="00561E9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3D7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7E0C3" w14:textId="55CF3EF1"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66D3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8785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666FA516" w14:textId="77777777" w:rsidTr="00561E9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F6A1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4F0B6" w14:textId="084E2B51"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3243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0873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641D3CF8" w14:textId="43DD067C"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163FAADF"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La distribución del score muestra un gradiente monótono (sin inversiones entre categorías) con medianas de 29,2 (Normal), 29,4 (Leve), 72,9 (Moderado) y 81,0 (Severo), confirmando que el índice captura la progresión de severidad en el orden clínicamente esperado. La proximidad entre las medianas de Normal y Leve refleja una limitación del score en el extremo inferior: ambas categorías comparten perfiles fisiológicos dinámicos similares que los modelos no logran separar con claridad, lo que es consistente con la baja prevalencia de noches Normal en la cohorte.</w:t>
      </w:r>
    </w:p>
    <w:p w14:paraId="238AF159"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 xml:space="preserve">El umbral de 60 puntos identifica el 100 % de las noches Severas y el 77,6 % de las Moderadas como de alto riesgo, con una tasa de falsos positivos del 9,4 % en Leve y del 0 % en Normal. El </w:t>
      </w:r>
      <w:r>
        <w:rPr>
          <w:rFonts w:asciiTheme="minorHAnsi" w:hAnsiTheme="minorHAnsi"/>
          <w:b/>
          <w:bCs/>
        </w:rPr>
        <w:t xml:space="preserve">Risk Score PAC </w:t>
      </w:r>
      <w:r>
        <w:rPr>
          <w:rFonts w:asciiTheme="minorHAnsi" w:hAnsiTheme="minorHAnsi"/>
        </w:rPr>
        <w:t>no es un sistema de monitoreo en tiempo real sino un índice de caracterización dinámica retrospectiva. Su valor reside en describir la arquitectura fisiológica de la noche: no solo cuántos eventos ocurrieron, sino en qué estados del organismo ocurrieron y qué trayectoria siguió el sistema. Esto lo hace útil para fenotipado post-diagnóstico, seguimiento longitudinal y detección de noches con riesgo oculto.</w:t>
      </w:r>
    </w:p>
    <w:p w14:paraId="5E724575" w14:textId="010F612A" w:rsidR="00A9687A" w:rsidRPr="00D639C0" w:rsidRDefault="00000000" w:rsidP="00561E9A">
      <w:pPr>
        <w:spacing w:after="200" w:line="360" w:lineRule="auto"/>
        <w:jc w:val="both"/>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6.10 (distribución del Risk Score por categoría AASM, boxplot y distribución proporcional).</w:t>
      </w:r>
    </w:p>
    <w:p w14:paraId="60DF8CF7"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1BAAFE3B"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 xml:space="preserve">Los resultados deben interpretarse en el contexto de una cohorte reducida. Con n = 8 en la cohorte estricta, el LOPO-CV produce ocho puntos de rendimiento independientes: suficientes para estimar tendencias con magnitud de efecto </w:t>
        <w:lastRenderedPageBreak/>
        <w:t>estimable, no para certificación clínica. La varianza entre folds es considerable (balanced accuracy en ablación: 0,469 ± 0,259; AUC de evento: 0,798–0,964), reflejando heterogeneidad fisiológica real entre pacientes. La ausencia de polisomnografía concurrente —limitación compartida con los capítulos anteriores— restringe la interpretación de los estadios de sueño estimados y la comparación directa con el AHI.</w:t>
      </w:r>
    </w:p>
    <w:p w14:paraId="76278B92" w14:textId="754421B2" w:rsidR="00A9687A" w:rsidRPr="00D639C0" w:rsidRDefault="00000000" w:rsidP="00D639C0">
      <w:pPr>
        <w:spacing w:after="200" w:line="360" w:lineRule="auto"/>
        <w:jc w:val="both"/>
        <w:rPr>
          <w:rFonts w:asciiTheme="minorHAnsi" w:hAnsiTheme="minorHAnsi"/>
        </w:rPr>
      </w:pPr>
      <w:r>
        <w:rPr>
          <w:rFonts w:asciiTheme="minorHAnsi" w:hAnsiTheme="minorHAnsi"/>
        </w:rPr>
        <w:t>El Risk Score PAC no es una herramienta clínica validada: requeriría calibración externa, evaluación de reproducibilidad, asociación con outcomes clínicos y análisis de utilidad incremental frente a índices establecidos antes de cualquier uso asistencial. La predicción en tiempo real —con lead time explícito y habilitación del estimulador terapéutico— es objeto del Capítulo 8; las implicaciones clínicas y las líneas de trabajo futuro se retoman en el Capítulo 9.</w:t>
      </w:r>
    </w:p>
    <w:p w14:paraId="662261BD" w14:textId="1839E7A9" w:rsidR="00A9687A" w:rsidRPr="00D639C0" w:rsidRDefault="00A9687A" w:rsidP="00D639C0">
      <w:pPr>
        <w:spacing w:before="400" w:line="360" w:lineRule="auto"/>
        <w:rPr>
          <w:rFonts w:asciiTheme="minorHAnsi" w:hAnsiTheme="minorHAnsi"/>
        </w:rPr>
      </w:pPr>
    </w:p>
    <w:sectPr w:rsidR="00A9687A" w:rsidRPr="00D639C0">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CB72" w14:textId="77777777" w:rsidR="00285D38" w:rsidRDefault="00285D38">
      <w:r>
        <w:separator/>
      </w:r>
    </w:p>
  </w:endnote>
  <w:endnote w:type="continuationSeparator" w:id="0">
    <w:p w14:paraId="245F0ECD" w14:textId="77777777" w:rsidR="00285D38" w:rsidRDefault="0028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7D0E" w14:textId="77777777" w:rsidR="00285D38" w:rsidRDefault="00285D38">
      <w:r>
        <w:separator/>
      </w:r>
    </w:p>
  </w:footnote>
  <w:footnote w:type="continuationSeparator" w:id="0">
    <w:p w14:paraId="13F97057" w14:textId="77777777" w:rsidR="00285D38" w:rsidRDefault="00285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A822" w14:textId="77777777" w:rsidR="00000000"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76435"/>
    <w:rsid w:val="00120EA2"/>
    <w:rsid w:val="00166285"/>
    <w:rsid w:val="001F7132"/>
    <w:rsid w:val="0021509E"/>
    <w:rsid w:val="00285D38"/>
    <w:rsid w:val="002F607E"/>
    <w:rsid w:val="002F7285"/>
    <w:rsid w:val="00386647"/>
    <w:rsid w:val="003A173E"/>
    <w:rsid w:val="00407470"/>
    <w:rsid w:val="0042185E"/>
    <w:rsid w:val="004774AE"/>
    <w:rsid w:val="004C3724"/>
    <w:rsid w:val="004F6C2C"/>
    <w:rsid w:val="00561E9A"/>
    <w:rsid w:val="005E7823"/>
    <w:rsid w:val="0066574C"/>
    <w:rsid w:val="006B067C"/>
    <w:rsid w:val="007115A3"/>
    <w:rsid w:val="00740724"/>
    <w:rsid w:val="0075335A"/>
    <w:rsid w:val="007B0DF7"/>
    <w:rsid w:val="007C078B"/>
    <w:rsid w:val="007D62B0"/>
    <w:rsid w:val="00833978"/>
    <w:rsid w:val="00876E61"/>
    <w:rsid w:val="009005C3"/>
    <w:rsid w:val="00980146"/>
    <w:rsid w:val="00A03C7F"/>
    <w:rsid w:val="00A10CEA"/>
    <w:rsid w:val="00A4213E"/>
    <w:rsid w:val="00A9687A"/>
    <w:rsid w:val="00C76BF5"/>
    <w:rsid w:val="00CA34F0"/>
    <w:rsid w:val="00CB29B7"/>
    <w:rsid w:val="00CC2EEF"/>
    <w:rsid w:val="00CC4DA3"/>
    <w:rsid w:val="00CD7DAA"/>
    <w:rsid w:val="00D43F7C"/>
    <w:rsid w:val="00D54A6F"/>
    <w:rsid w:val="00D639C0"/>
    <w:rsid w:val="00D71786"/>
    <w:rsid w:val="00E67DFE"/>
    <w:rsid w:val="00E70F72"/>
    <w:rsid w:val="00EA2E08"/>
    <w:rsid w:val="00F029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4F2A32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11</Pages>
  <Words>3312</Words>
  <Characters>15270</Characters>
  <Application>Microsoft Office Word</Application>
  <DocSecurity>0</DocSecurity>
  <Lines>1272</Lines>
  <Paragraphs>929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32</cp:revision>
  <dcterms:created xsi:type="dcterms:W3CDTF">2026-06-02T18:49:00Z</dcterms:created>
  <dcterms:modified xsi:type="dcterms:W3CDTF">2026-06-05T02:28:00Z</dcterms:modified>
</cp:coreProperties>
</file>