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15  ·  Mayo 2026</w:t>
      </w:r>
    </w:p>
    <w:p w14:paraId="44239F02" w14:textId="77777777" w:rsidR="0087342B" w:rsidRDefault="00000000">
      <w:pPr>
        <w:pStyle w:val="Ttulo2"/>
      </w:pPr>
      <w:r>
        <w:t>6.1  Introducción</w:t>
      </w:r>
    </w:p>
    <w:p w14:paraId="2597ED3D" w14:textId="77777777" w:rsidR="0087342B" w:rsidRDefault="00000000">
      <w:pPr>
        <w:pBdr>
          <w:left w:val="thick" w:sz="12" w:space="12" w:color="1E3A5F"/>
        </w:pBdr>
        <w:spacing w:after="160"/>
        <w:ind w:left="320"/>
      </w:pPr>
      <w:r>
        <w:rPr>
          <w:i/>
          <w:iCs/>
          <w:color w:val="2E5F8A"/>
          <w:sz w:val="21"/>
          <w:szCs w:val="21"/>
        </w:rPr>
        <w:t>Son las 2:47 de la madrugada. El organismo lleva 23 minutos en estado M1 continuo y 3 de los últimos 8 eventos fueron de morfotipo C4. Cuando el pipeline procese la señal a la mañana siguiente, el Risk Score PAC de esa noche será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14:paraId="50750B03" w14:textId="77777777" w:rsidR="0087342B" w:rsidRDefault="00000000">
      <w:pPr>
        <w:spacing w:before="120"/>
        <w:jc w:val="center"/>
      </w:pPr>
      <w:r>
        <w:rPr>
          <w:noProof/>
        </w:rPr>
        <w:drawing>
          <wp:inline distT="0" distB="0" distL="0" distR="0" wp14:anchorId="12D17663" wp14:editId="08B77A67">
            <wp:extent cx="5238750" cy="1447800"/>
            <wp:effectExtent l="0" t="0" r="0" b="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447800"/>
                    </a:xfrm>
                    <a:prstGeom prst="rect">
                      <a:avLst/>
                    </a:prstGeom>
                  </pic:spPr>
                </pic:pic>
              </a:graphicData>
            </a:graphic>
          </wp:inline>
        </w:drawing>
      </w:r>
    </w:p>
    <w:p w14:paraId="3534415D" w14:textId="77777777" w:rsidR="0087342B" w:rsidRDefault="00000000">
      <w:pPr>
        <w:spacing w:before="80" w:after="200"/>
      </w:pPr>
      <w:r>
        <w:rPr>
          <w:b/>
          <w:bCs/>
          <w:color w:val="444444"/>
          <w:sz w:val="18"/>
          <w:szCs w:val="18"/>
        </w:rPr>
        <w:t xml:space="preserve">Figura 6.0. </w:t>
      </w:r>
      <w:r>
        <w:rPr>
          <w:color w:val="444444"/>
          <w:sz w:val="18"/>
          <w:szCs w:val="18"/>
        </w:rPr>
        <w:t>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14:paraId="30BC6D5E" w14:textId="2A9D53CA" w:rsidR="0087342B" w:rsidRDefault="00000000">
      <w:pPr>
        <w:spacing w:after="140" w:line="280" w:lineRule="auto"/>
        <w:jc w:val="both"/>
      </w:pPr>
      <w:r>
        <w:t>La pregunta central que organiza este capítulo es la de la relación entre dos mundos que los capítulos anteriores construyeron por separado: el mundo de los eventos individuales de desaturación (Cap04) y el mundo de los estados fisiológicos dinámicos (Cap05). Un EDO no ocurre en el vacío: ocurre en un contexto fisiológico —una configuración de oximetría, frecuencia cardíaca y movimiento que define un estado PAC— y ese contexto podría condicionar tanto la morfología del evento como su impacto sobre el organismo. La primera pregunta, entonces, es si los morfotipos más severos tienden a concentrarse en ciertos estados PAC, o si morfotipo y estado son fenómenos que se distribuyen de manera independiente.</w:t>
      </w:r>
      <w:r w:rsidR="00A6607A">
        <w:t xml:space="preserve"> </w:t>
      </w:r>
      <w:r w:rsidR="00A6607A">
        <w:t>A esa relación entre el estado fisiológico activo y la morfología del evento que ocurre en él se la denomina acoplamiento.</w:t>
      </w:r>
    </w:p>
    <w:p w14:paraId="47BC8E28" w14:textId="77777777" w:rsidR="0087342B" w:rsidRDefault="00000000">
      <w:pPr>
        <w:spacing w:after="140" w:line="280" w:lineRule="auto"/>
        <w:jc w:val="both"/>
      </w:pPr>
      <w:r>
        <w:t xml:space="preserve">Si existe acoplamiento, nace naturalmente una segunda pregunta: ¿cuánto de ese acoplamiento caracteriza a cada noche en particular? Dos noches con la misma frecuencia de eventos podrían diferir radicalmente en cuánta de esa carga se desarrolló en contextos fisiológicamente comprometidos. Traducir esa diferencia a una propiedad nocturna es el objetivo del </w:t>
      </w:r>
      <w:r w:rsidRPr="00A6607A">
        <w:rPr>
          <w:i/>
          <w:iCs/>
        </w:rPr>
        <w:t>Coupling Index</w:t>
      </w:r>
      <w:r>
        <w:t xml:space="preserve">: no mide cuántos eventos ocurrieron, sino en qué estados del organismo ocurrieron. El paso siguiente es temporal: los estados no son estáticos, transicionan y crean trayectorias. La dinámica Markoviana y los fenotipos de </w:t>
      </w:r>
      <w:r>
        <w:lastRenderedPageBreak/>
        <w:t>trayectoria nocturna permiten pasar de una descripción promedio a una descripción arquitectural de la noche —qué tipo de noche fue, más allá de cualquier índice escalar—.</w:t>
      </w:r>
    </w:p>
    <w:p w14:paraId="27A67AA9" w14:textId="77777777" w:rsidR="0087342B" w:rsidRDefault="00000000">
      <w:pPr>
        <w:spacing w:after="140" w:line="280" w:lineRule="auto"/>
        <w:jc w:val="both"/>
      </w:pPr>
      <w:r>
        <w:t>Con esas representaciones construidas, la pregunta se desplaza hacia la caracterización: ¿es posible leer la arquitectura dinámica de una noche y determinar si terminó siendo severa? No se trata de anticipar el futuro sino de describir la noche como un todo —cómo se organizaron sus eventos, en qué estados transcurrió, qué trayectoria siguió— y reconocer el tipo de noche que fue.</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18069BC6" w14:textId="77777777" w:rsidR="0087342B"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5092C39C" w14:textId="77777777" w:rsidR="0087342B" w:rsidRDefault="00000000">
      <w:pPr>
        <w:pStyle w:val="Ttulo2"/>
      </w:pPr>
      <w:r>
        <w:t>6.2  Datos, cohorte y diseño analítico</w:t>
      </w:r>
    </w:p>
    <w:p w14:paraId="296718DB" w14:textId="77777777" w:rsidR="0087342B" w:rsidRDefault="00000000">
      <w:pPr>
        <w:spacing w:after="140" w:line="280" w:lineRule="auto"/>
        <w:jc w:val="both"/>
      </w:pPr>
      <w: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w:t>
      </w:r>
      <w:r>
        <w:lastRenderedPageBreak/>
        <w:t>análisis de acoplamiento de NB05 se realizaron sobre los 12 pacientes de la cohorte in_strict (83.892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73315396" w14:textId="77777777" w:rsidR="0087342B"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494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(83.892 eventos con morfotipo y estado asignado, 560 noches). El modelo nocturno usa 494 noches de las 540 tras descartar noches con features faltantes.</w:t>
      </w:r>
    </w:p>
    <w:p w14:paraId="727E560E" w14:textId="77777777" w:rsidR="0087342B" w:rsidRDefault="00000000">
      <w:pPr>
        <w:pStyle w:val="Ttulo2"/>
      </w:pPr>
      <w:r>
        <w:t>6.3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7F16C4CA" w14:textId="77777777" w:rsidR="0087342B" w:rsidRDefault="00000000">
      <w:pPr>
        <w:spacing w:after="140" w:line="280" w:lineRule="auto"/>
        <w:jc w:val="both"/>
      </w:pPr>
      <w:r>
        <w:lastRenderedPageBreak/>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14:paraId="4B6B5FBA" w14:textId="77777777" w:rsidR="0087342B" w:rsidRDefault="00000000">
      <w:pPr>
        <w:spacing w:before="120"/>
        <w:jc w:val="center"/>
      </w:pPr>
      <w:r>
        <w:rPr>
          <w:noProof/>
        </w:rPr>
        <w:drawing>
          <wp:inline distT="0" distB="0" distL="0" distR="0" wp14:anchorId="1B20CC1D" wp14:editId="5443284F">
            <wp:extent cx="5238750" cy="1714500"/>
            <wp:effectExtent l="0" t="0" r="0" b="0"/>
            <wp:docPr id="1899303327"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714500"/>
                    </a:xfrm>
                    <a:prstGeom prst="rect">
                      <a:avLst/>
                    </a:prstGeom>
                  </pic:spPr>
                </pic:pic>
              </a:graphicData>
            </a:graphic>
          </wp:inline>
        </w:drawing>
      </w:r>
    </w:p>
    <w:p w14:paraId="71444A45" w14:textId="77777777" w:rsidR="0087342B"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0,355; M = 0,229; L = 0,194.</w:t>
      </w:r>
    </w:p>
    <w:p w14:paraId="63E221E4" w14:textId="77777777" w:rsidR="0087342B" w:rsidRDefault="00000000">
      <w:pPr>
        <w:spacing w:after="220"/>
        <w:ind w:left="220"/>
      </w:pPr>
      <w:r>
        <w:rPr>
          <w:i/>
          <w:iCs/>
          <w:color w:val="444444"/>
          <w:sz w:val="18"/>
          <w:szCs w:val="18"/>
        </w:rPr>
        <w:t>Nota. Origen: NB05, Sección 2. n = 83.892 eventos, cohorte in_strict (12 pacientes).</w:t>
      </w:r>
    </w:p>
    <w:p w14:paraId="753B0629" w14:textId="77777777" w:rsidR="0087342B" w:rsidRDefault="00000000">
      <w:pPr>
        <w:spacing w:before="120"/>
        <w:jc w:val="center"/>
      </w:pPr>
      <w:r>
        <w:rPr>
          <w:noProof/>
        </w:rPr>
        <w:drawing>
          <wp:inline distT="0" distB="0" distL="0" distR="0" wp14:anchorId="2F6E4C3F" wp14:editId="356FD5CB">
            <wp:extent cx="5238750" cy="1533525"/>
            <wp:effectExtent l="0" t="0" r="0" b="0"/>
            <wp:docPr id="926487157"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533525"/>
                    </a:xfrm>
                    <a:prstGeom prst="rect">
                      <a:avLst/>
                    </a:prstGeom>
                  </pic:spPr>
                </pic:pic>
              </a:graphicData>
            </a:graphic>
          </wp:inline>
        </w:drawing>
      </w:r>
    </w:p>
    <w:p w14:paraId="74684708" w14:textId="77777777" w:rsidR="0087342B" w:rsidRDefault="00000000">
      <w:pPr>
        <w:spacing w:before="80" w:after="60"/>
        <w:ind w:left="220"/>
      </w:pPr>
      <w:r>
        <w:rPr>
          <w:b/>
          <w:bCs/>
          <w:color w:val="1E3A5F"/>
          <w:sz w:val="20"/>
          <w:szCs w:val="20"/>
        </w:rPr>
        <w:lastRenderedPageBreak/>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5F79EC93" w14:textId="77777777" w:rsidR="0087342B" w:rsidRDefault="00000000">
      <w:pPr>
        <w:spacing w:after="220"/>
        <w:ind w:left="220"/>
      </w:pPr>
      <w:r>
        <w:rPr>
          <w:i/>
          <w:iCs/>
          <w:color w:val="444444"/>
          <w:sz w:val="18"/>
          <w:szCs w:val="18"/>
        </w:rPr>
        <w:t>Nota. Origen: NB05, Sección 2. P(severo) marginal = 5,97 %. n = 83.892 eventos, 12 pacientes.</w:t>
      </w:r>
    </w:p>
    <w:p w14:paraId="6375A82E" w14:textId="77777777" w:rsidR="0087342B" w:rsidRDefault="00000000">
      <w:pPr>
        <w:spacing w:before="120"/>
        <w:jc w:val="center"/>
      </w:pPr>
      <w:r>
        <w:rPr>
          <w:noProof/>
        </w:rPr>
        <w:drawing>
          <wp:inline distT="0" distB="0" distL="0" distR="0" wp14:anchorId="1E699C79" wp14:editId="54A48B9F">
            <wp:extent cx="5238750" cy="2819400"/>
            <wp:effectExtent l="0" t="0" r="0" b="0"/>
            <wp:docPr id="1967231547"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819400"/>
                    </a:xfrm>
                    <a:prstGeom prst="rect">
                      <a:avLst/>
                    </a:prstGeom>
                  </pic:spPr>
                </pic:pic>
              </a:graphicData>
            </a:graphic>
          </wp:inline>
        </w:drawing>
      </w:r>
    </w:p>
    <w:p w14:paraId="33C1D251" w14:textId="77777777" w:rsidR="0087342B" w:rsidRDefault="00000000">
      <w:pPr>
        <w:spacing w:before="80" w:after="60"/>
        <w:ind w:left="220"/>
      </w:pPr>
      <w:r>
        <w:rPr>
          <w:b/>
          <w:bCs/>
          <w:color w:val="1E3A5F"/>
          <w:sz w:val="20"/>
          <w:szCs w:val="20"/>
        </w:rPr>
        <w:t xml:space="preserve">Figura 6.2c. </w:t>
      </w:r>
      <w:r>
        <w:rPr>
          <w:i/>
          <w:iCs/>
          <w:sz w:val="20"/>
          <w:szCs w:val="20"/>
        </w:rPr>
        <w:t>Acoplamiento morfotipo–estado PAC (escala M). El estado fisiológico activo en los 5 minutos previos al evento predice la morfología de la caída de SpO₂: P(severo | M0) &lt; 2 %; P(severo | M1) = 38,6 %. V de Cramér = 0,230 (NB05, escala M).</w:t>
      </w:r>
    </w:p>
    <w:p w14:paraId="2DAE2C97" w14:textId="77777777" w:rsidR="0087342B" w:rsidRDefault="00000000">
      <w:pPr>
        <w:spacing w:after="220"/>
        <w:ind w:left="220"/>
      </w:pPr>
      <w:r>
        <w:rPr>
          <w:i/>
          <w:iCs/>
          <w:color w:val="444444"/>
          <w:sz w:val="18"/>
          <w:szCs w:val="18"/>
        </w:rPr>
        <w:t>Nota. Diagrama conceptual. Valores de probabilidad representativos del modelo LightGBM (NB07 Bloque B, LOPO-CV). Origen: NB05 §2.</w:t>
      </w:r>
    </w:p>
    <w:p w14:paraId="0DF17B6B" w14:textId="77777777" w:rsidR="0087342B" w:rsidRDefault="00000000">
      <w:pPr>
        <w:pStyle w:val="Ttulo2"/>
      </w:pPr>
      <w:r>
        <w:t>6.4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14:paraId="30C4EF61" w14:textId="77777777" w:rsidR="0087342B" w:rsidRDefault="00000000">
      <w:pPr>
        <w:spacing w:before="120"/>
        <w:jc w:val="center"/>
      </w:pPr>
      <w:r>
        <w:rPr>
          <w:noProof/>
        </w:rPr>
        <w:drawing>
          <wp:inline distT="0" distB="0" distL="0" distR="0" wp14:anchorId="478D3F68" wp14:editId="10C66129">
            <wp:extent cx="5238750" cy="1628775"/>
            <wp:effectExtent l="0" t="0" r="0" b="0"/>
            <wp:docPr id="1388138434"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628775"/>
                    </a:xfrm>
                    <a:prstGeom prst="rect">
                      <a:avLst/>
                    </a:prstGeom>
                  </pic:spPr>
                </pic:pic>
              </a:graphicData>
            </a:graphic>
          </wp:inline>
        </w:drawing>
      </w:r>
    </w:p>
    <w:p w14:paraId="0E203AA7" w14:textId="77777777" w:rsidR="0087342B"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0,066) contrasta con la correlación moderada entre ci_m y ci_l (r = 0,291), confirmando que las tres escalas capturan dimensiones no redundantes del riesgo nocturno.</w:t>
      </w:r>
    </w:p>
    <w:p w14:paraId="0576C70D" w14:textId="77777777" w:rsidR="0087342B" w:rsidRDefault="00000000">
      <w:pPr>
        <w:spacing w:after="220"/>
        <w:ind w:left="220"/>
      </w:pPr>
      <w:r>
        <w:rPr>
          <w:i/>
          <w:iCs/>
          <w:color w:val="444444"/>
          <w:sz w:val="18"/>
          <w:szCs w:val="18"/>
        </w:rPr>
        <w:t>Nota. Origen: NB05, Sección 3. n = 560 noches, cohorte in_strict (12 pacientes).</w:t>
      </w:r>
    </w:p>
    <w:p w14:paraId="38BF01E8" w14:textId="77777777" w:rsidR="0087342B"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12B9065D" w14:textId="77777777" w:rsidR="0087342B" w:rsidRDefault="00000000">
      <w:pPr>
        <w:spacing w:before="120"/>
        <w:jc w:val="center"/>
      </w:pPr>
      <w:r>
        <w:rPr>
          <w:noProof/>
        </w:rPr>
        <w:drawing>
          <wp:inline distT="0" distB="0" distL="0" distR="0" wp14:anchorId="258A1659" wp14:editId="3D880D81">
            <wp:extent cx="5238750" cy="2886075"/>
            <wp:effectExtent l="0" t="0" r="0" b="0"/>
            <wp:docPr id="1280973263"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886075"/>
                    </a:xfrm>
                    <a:prstGeom prst="rect">
                      <a:avLst/>
                    </a:prstGeom>
                  </pic:spPr>
                </pic:pic>
              </a:graphicData>
            </a:graphic>
          </wp:inline>
        </w:drawing>
      </w:r>
    </w:p>
    <w:p w14:paraId="5F35D288" w14:textId="77777777" w:rsidR="0087342B" w:rsidRDefault="00000000">
      <w:pPr>
        <w:spacing w:before="80" w:after="60"/>
        <w:ind w:left="220"/>
      </w:pPr>
      <w:r>
        <w:rPr>
          <w:b/>
          <w:bCs/>
          <w:color w:val="1E3A5F"/>
          <w:sz w:val="20"/>
          <w:szCs w:val="20"/>
        </w:rPr>
        <w:t xml:space="preserve">Figura 6.4c. </w:t>
      </w:r>
      <w:r>
        <w:rPr>
          <w:i/>
          <w:iCs/>
          <w:sz w:val="20"/>
          <w:szCs w:val="20"/>
        </w:rPr>
        <w:t>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14:paraId="2EDAA6D1" w14:textId="77777777" w:rsidR="0087342B" w:rsidRDefault="00000000">
      <w:pPr>
        <w:spacing w:after="220"/>
        <w:ind w:left="220"/>
      </w:pPr>
      <w:r>
        <w:rPr>
          <w:i/>
          <w:iCs/>
          <w:color w:val="444444"/>
          <w:sz w:val="18"/>
          <w:szCs w:val="18"/>
        </w:rPr>
        <w:t>Nota. Diagrama conceptual. Valores ilustrativos consistentes con la distribución empírica del corpus (NB05 §3).</w:t>
      </w:r>
    </w:p>
    <w:p w14:paraId="153E59A0" w14:textId="77777777" w:rsidR="0087342B" w:rsidRDefault="00000000">
      <w:pPr>
        <w:pStyle w:val="Ttulo2"/>
      </w:pPr>
      <w:r>
        <w:lastRenderedPageBreak/>
        <w:t>6.5  Dinámica temporal peri-evento y resiliencia fisiológica  (NB05, Sección 4)</w:t>
      </w:r>
    </w:p>
    <w:p w14:paraId="1400FD5C" w14:textId="77777777" w:rsidR="0087342B"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6AFD1746" w14:textId="77777777" w:rsidR="0087342B" w:rsidRDefault="00000000">
      <w:pPr>
        <w:spacing w:before="120"/>
        <w:jc w:val="center"/>
      </w:pPr>
      <w:r>
        <w:rPr>
          <w:noProof/>
        </w:rPr>
        <w:drawing>
          <wp:inline distT="0" distB="0" distL="0" distR="0" wp14:anchorId="277AD80B" wp14:editId="2EBEF118">
            <wp:extent cx="5238750" cy="1628775"/>
            <wp:effectExtent l="0" t="0" r="0" b="0"/>
            <wp:docPr id="1055980836"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628775"/>
                    </a:xfrm>
                    <a:prstGeom prst="rect">
                      <a:avLst/>
                    </a:prstGeom>
                  </pic:spPr>
                </pic:pic>
              </a:graphicData>
            </a:graphic>
          </wp:inline>
        </w:drawing>
      </w:r>
    </w:p>
    <w:p w14:paraId="0A72B592" w14:textId="77777777" w:rsidR="0087342B"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6DAC4D1F" w14:textId="77777777" w:rsidR="0087342B" w:rsidRDefault="00000000">
      <w:pPr>
        <w:spacing w:after="220"/>
        <w:ind w:left="220"/>
      </w:pPr>
      <w:r>
        <w:rPr>
          <w:i/>
          <w:iCs/>
          <w:color w:val="444444"/>
          <w:sz w:val="18"/>
          <w:szCs w:val="18"/>
        </w:rPr>
        <w:t>Nota. Origen: NB05, Sección 4. n = 4.602 eventos C4+C5, cohorte in_strict (12 pacientes).</w:t>
      </w:r>
    </w:p>
    <w:p w14:paraId="0617891D" w14:textId="77777777" w:rsidR="0087342B" w:rsidRDefault="00000000">
      <w:pPr>
        <w:spacing w:before="120"/>
        <w:jc w:val="center"/>
      </w:pPr>
      <w:r>
        <w:rPr>
          <w:noProof/>
        </w:rPr>
        <w:lastRenderedPageBreak/>
        <w:drawing>
          <wp:inline distT="0" distB="0" distL="0" distR="0" wp14:anchorId="6E33EA0D" wp14:editId="58A6E7BD">
            <wp:extent cx="5238750" cy="2886075"/>
            <wp:effectExtent l="0" t="0" r="0" b="0"/>
            <wp:docPr id="1756183999"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886075"/>
                    </a:xfrm>
                    <a:prstGeom prst="rect">
                      <a:avLst/>
                    </a:prstGeom>
                  </pic:spPr>
                </pic:pic>
              </a:graphicData>
            </a:graphic>
          </wp:inline>
        </w:drawing>
      </w:r>
    </w:p>
    <w:p w14:paraId="4FF3D1C2" w14:textId="77777777" w:rsidR="0087342B" w:rsidRDefault="00000000">
      <w:pPr>
        <w:spacing w:before="80" w:after="60"/>
        <w:ind w:left="220"/>
      </w:pPr>
      <w:r>
        <w:rPr>
          <w:b/>
          <w:bCs/>
          <w:color w:val="1E3A5F"/>
          <w:sz w:val="20"/>
          <w:szCs w:val="20"/>
        </w:rPr>
        <w:t xml:space="preserve">Figura 6.5c. </w:t>
      </w:r>
      <w:r>
        <w:rPr>
          <w:i/>
          <w:iCs/>
          <w:sz w:val="20"/>
          <w:szCs w:val="20"/>
        </w:rPr>
        <w:t>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14:paraId="57C2F078" w14:textId="77777777" w:rsidR="0087342B" w:rsidRDefault="00000000">
      <w:pPr>
        <w:spacing w:after="220"/>
        <w:ind w:left="220"/>
      </w:pPr>
      <w:r>
        <w:rPr>
          <w:i/>
          <w:iCs/>
          <w:color w:val="444444"/>
          <w:sz w:val="18"/>
          <w:szCs w:val="18"/>
        </w:rPr>
        <w:t>Nota. Diagrama conceptual. Porcentajes calculados sobre corpus de 560 noches (NB05 §4).</w:t>
      </w:r>
    </w:p>
    <w:p w14:paraId="6C900222" w14:textId="77777777" w:rsidR="0087342B" w:rsidRDefault="00000000">
      <w:pPr>
        <w:pStyle w:val="Ttulo2"/>
      </w:pPr>
      <w:r>
        <w:t>6.6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169B45ED" w14:textId="77777777" w:rsidR="0087342B" w:rsidRDefault="00000000">
      <w:pPr>
        <w:spacing w:before="120"/>
        <w:jc w:val="center"/>
      </w:pPr>
      <w:r>
        <w:rPr>
          <w:noProof/>
        </w:rPr>
        <w:drawing>
          <wp:inline distT="0" distB="0" distL="0" distR="0" wp14:anchorId="1615109C" wp14:editId="412AE712">
            <wp:extent cx="5238750" cy="1524000"/>
            <wp:effectExtent l="0" t="0" r="0" b="0"/>
            <wp:docPr id="453519139"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1524000"/>
                    </a:xfrm>
                    <a:prstGeom prst="rect">
                      <a:avLst/>
                    </a:prstGeom>
                  </pic:spPr>
                </pic:pic>
              </a:graphicData>
            </a:graphic>
          </wp:inline>
        </w:drawing>
      </w:r>
    </w:p>
    <w:p w14:paraId="5DD642F4" w14:textId="77777777" w:rsidR="0087342B" w:rsidRDefault="00000000">
      <w:pPr>
        <w:spacing w:before="80" w:after="60"/>
        <w:ind w:left="220"/>
      </w:pPr>
      <w:r>
        <w:rPr>
          <w:b/>
          <w:bCs/>
          <w:color w:val="1E3A5F"/>
          <w:sz w:val="20"/>
          <w:szCs w:val="20"/>
        </w:rPr>
        <w:t xml:space="preserve">Figura 6.5. </w:t>
      </w:r>
      <w:r>
        <w:rPr>
          <w:i/>
          <w:iCs/>
          <w:sz w:val="20"/>
          <w:szCs w:val="20"/>
        </w:rPr>
        <w:t xml:space="preserve">Matrices de transición Markoviana de los PAC States en las tres escalas. La intensidad del color representa la probabilidad de transición del estado fila al estado columna. </w:t>
      </w:r>
      <w:r>
        <w:rPr>
          <w:i/>
          <w:iCs/>
          <w:sz w:val="20"/>
          <w:szCs w:val="20"/>
        </w:rPr>
        <w:lastRenderedPageBreak/>
        <w:t>Los atractores del sistema (S1, M0, L3) presentan alta probabilidad de auto-transición. Los estados patológicos (S6, M1, L0) muestran probabilidades de salida reducidas, consistentes con la baja resiliencia observada en §6.5.</w:t>
      </w:r>
    </w:p>
    <w:p w14:paraId="7FD36AC5" w14:textId="77777777" w:rsidR="0087342B" w:rsidRDefault="00000000">
      <w:pPr>
        <w:spacing w:after="220"/>
        <w:ind w:left="220"/>
      </w:pPr>
      <w:r>
        <w:rPr>
          <w:i/>
          <w:iCs/>
          <w:color w:val="444444"/>
          <w:sz w:val="18"/>
          <w:szCs w:val="18"/>
        </w:rPr>
        <w:t>Nota. Origen: NB05, Sección 5. Transiciones: S = 462.519; M = 45.900; L = 7.196. Cadenas Markov de primer orden, 12 pacientes.</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1208954792"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Ttulo2"/>
      </w:pPr>
      <w:r>
        <w:t>6.7  Trayectorias nocturnas: fenotipos dinámicos globales  (NB05, Sección 6)</w:t>
      </w:r>
    </w:p>
    <w:p w14:paraId="2848ACE9" w14:textId="77777777" w:rsidR="0087342B"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(530 noches con todas las features disponibles) se aplicó PCA seguido de K-means (K = 3).</w:t>
      </w:r>
    </w:p>
    <w:p w14:paraId="071E2570" w14:textId="77777777" w:rsidR="0087342B" w:rsidRDefault="00000000">
      <w:pPr>
        <w:spacing w:after="140" w:line="280" w:lineRule="auto"/>
        <w:jc w:val="both"/>
      </w:pPr>
      <w:r>
        <w:t>El PCA identificó dos ejes principales que explican el 57,2 % de la varianza combinada (PC1 = 33,3 %; PC2 = 23,4 %). Los tres fenotipos resultantes son: Estable-Protector (fracción M1 = 2,5 %; eventos severos = 3,1 %; ARI = 0,524), Carga Intermedia (mayor entropía = 1,933; mayor número de transiciones = 43; ARI = 0,492; eventos severos = 5,3 %) y Carga Hipóxica Alta (M1 = 78,1 %; eventos severos = 37,9 %; ARI = 0,284; ≈6 transiciones). La Tabla 6.5 presenta el perfil completo.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513 noches, 12 pacientes. Origen: NB05, Sección 6.</w:t>
      </w:r>
    </w:p>
    <w:p w14:paraId="4D2D0407" w14:textId="77777777" w:rsidR="0087342B" w:rsidRDefault="00000000">
      <w:pPr>
        <w:spacing w:before="120"/>
        <w:jc w:val="center"/>
      </w:pPr>
      <w:r>
        <w:rPr>
          <w:noProof/>
        </w:rPr>
        <w:drawing>
          <wp:inline distT="0" distB="0" distL="0" distR="0" wp14:anchorId="7233983F" wp14:editId="4064AB30">
            <wp:extent cx="5238750" cy="2390775"/>
            <wp:effectExtent l="0" t="0" r="0" b="0"/>
            <wp:docPr id="340051649"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390775"/>
                    </a:xfrm>
                    <a:prstGeom prst="rect">
                      <a:avLst/>
                    </a:prstGeom>
                  </pic:spPr>
                </pic:pic>
              </a:graphicData>
            </a:graphic>
          </wp:inline>
        </w:drawing>
      </w:r>
    </w:p>
    <w:p w14:paraId="5300689E" w14:textId="77777777" w:rsidR="0087342B"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51BA5AB3" w14:textId="77777777" w:rsidR="0087342B"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4535160A" w14:textId="77777777" w:rsidR="0087342B" w:rsidRDefault="00000000">
      <w:pPr>
        <w:spacing w:before="120"/>
        <w:jc w:val="center"/>
      </w:pPr>
      <w:r>
        <w:rPr>
          <w:noProof/>
        </w:rPr>
        <w:lastRenderedPageBreak/>
        <w:drawing>
          <wp:inline distT="0" distB="0" distL="0" distR="0" wp14:anchorId="7108257A" wp14:editId="6092BFBD">
            <wp:extent cx="5238750" cy="2952750"/>
            <wp:effectExtent l="0" t="0" r="0" b="0"/>
            <wp:docPr id="1382551798"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952750"/>
                    </a:xfrm>
                    <a:prstGeom prst="rect">
                      <a:avLst/>
                    </a:prstGeom>
                  </pic:spPr>
                </pic:pic>
              </a:graphicData>
            </a:graphic>
          </wp:inline>
        </w:drawing>
      </w:r>
    </w:p>
    <w:p w14:paraId="209B5ED1" w14:textId="77777777" w:rsidR="0087342B" w:rsidRDefault="00000000">
      <w:pPr>
        <w:spacing w:before="80" w:after="60"/>
        <w:ind w:left="220"/>
      </w:pPr>
      <w:r>
        <w:rPr>
          <w:b/>
          <w:bCs/>
          <w:color w:val="1E3A5F"/>
          <w:sz w:val="20"/>
          <w:szCs w:val="20"/>
        </w:rPr>
        <w:t xml:space="preserve">Figura 6.7c. </w:t>
      </w:r>
      <w:r>
        <w:rPr>
          <w:i/>
          <w:iCs/>
          <w:sz w:val="20"/>
          <w:szCs w:val="20"/>
        </w:rPr>
        <w:t>Tres fenotipos de trayectoria nocturna (K-means K=3, NB05 §6). Estable-Protector (28 %): dominancia M0/M2, eventos escasos, Risk Score PAC bajo. Carga Intermedia (70 %): alternancia M0–M1–M2, recuperación entre episodios. Carga Hipóxica Alta (1 %): dominancia M1 sostenida, sin consolidación protectora, Risk Score PAC alto. Hallazgo clave: el fenotipo CHA puede presentarse en pacientes con ODI3 = 14 ev/h (Moderado AASM).</w:t>
      </w:r>
    </w:p>
    <w:p w14:paraId="039141F5" w14:textId="77777777" w:rsidR="0087342B" w:rsidRDefault="00000000">
      <w:pPr>
        <w:spacing w:after="220"/>
        <w:ind w:left="220"/>
      </w:pPr>
      <w:r>
        <w:rPr>
          <w:i/>
          <w:iCs/>
          <w:color w:val="444444"/>
          <w:sz w:val="18"/>
          <w:szCs w:val="18"/>
        </w:rPr>
        <w:t>Nota. Diagrama conceptual. Distribuciones de estados y Risk Score consistentes con corpus NB05 §6 / NB07 Bloque D.</w:t>
      </w:r>
    </w:p>
    <w:p w14:paraId="769C1929" w14:textId="77777777" w:rsidR="0087342B" w:rsidRDefault="00000000">
      <w:pPr>
        <w:pStyle w:val="Ttulo2"/>
      </w:pPr>
      <w:r>
        <w:t>6.8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4C8AD9A5" w14:textId="77777777" w:rsidR="0087342B"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05CC68DC" w14:textId="77777777" w:rsidR="0087342B" w:rsidRDefault="00000000">
      <w:pPr>
        <w:spacing w:after="140" w:line="280" w:lineRule="auto"/>
        <w:jc w:val="both"/>
      </w:pPr>
      <w:r>
        <w:t xml:space="preserve">El hallazgo central es que los PAC States constituyen el grupo predictor dominante: 44,75 % del peso total, seguidos de morfotipos C1–C5 (20,2 %), dinámica PAC (14,7 %), variables clínicas (10,2 %), sueño (6,8 %) y ARI (3,4 %). Los PAC States fueron </w:t>
      </w:r>
      <w:r>
        <w:lastRenderedPageBreak/>
        <w:t>aprendidos de forma completamente no supervisada, sin utilizar etiquetas clínicas de severidad. La Tabla 6.6 presenta los valores por grupo y la Tabla 6.6b las diez features individuales de mayor importancia.</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20,2 %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0ECFE21E" w14:textId="77777777" w:rsidR="0087342B"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2"/>
        <w:gridCol w:w="2036"/>
        <w:gridCol w:w="1449"/>
        <w:gridCol w:w="847"/>
        <w:gridCol w:w="3502"/>
      </w:tblGrid>
      <w:tr w:rsidR="0087342B" w14:paraId="11B0589E"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2246FA" w14:textId="77777777" w:rsidR="0087342B"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09D9DC" w14:textId="77777777" w:rsidR="0087342B"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F79C1F" w14:textId="77777777" w:rsidR="0087342B"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2D2AE0" w14:textId="77777777" w:rsidR="0087342B"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D2B681" w14:textId="77777777" w:rsidR="0087342B" w:rsidRDefault="00000000">
            <w:r>
              <w:rPr>
                <w:b/>
                <w:bCs/>
                <w:color w:val="FFFFFF"/>
                <w:sz w:val="19"/>
                <w:szCs w:val="19"/>
              </w:rPr>
              <w:t>Interpretación</w:t>
            </w:r>
          </w:p>
        </w:tc>
      </w:tr>
      <w:tr w:rsidR="0087342B" w14:paraId="5FC41E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7280" w14:textId="77777777" w:rsidR="0087342B"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6ED2" w14:textId="77777777" w:rsidR="0087342B"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2B5C"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1D52" w14:textId="77777777" w:rsidR="0087342B"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B5C6" w14:textId="77777777" w:rsidR="0087342B" w:rsidRDefault="00000000">
            <w:r>
              <w:rPr>
                <w:sz w:val="19"/>
                <w:szCs w:val="19"/>
              </w:rPr>
              <w:t>Fracción en estado S protector</w:t>
            </w:r>
          </w:p>
        </w:tc>
      </w:tr>
      <w:tr w:rsidR="0087342B" w14:paraId="54AC2A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D14AD2" w14:textId="77777777" w:rsidR="0087342B"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530055F" w14:textId="77777777" w:rsidR="0087342B"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E4AF85D" w14:textId="77777777" w:rsidR="0087342B"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26D304" w14:textId="77777777" w:rsidR="0087342B"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7A0204" w14:textId="77777777" w:rsidR="0087342B" w:rsidRDefault="00000000">
            <w:r>
              <w:rPr>
                <w:sz w:val="19"/>
                <w:szCs w:val="19"/>
              </w:rPr>
              <w:t>Dinamismo microdinámica S</w:t>
            </w:r>
          </w:p>
        </w:tc>
      </w:tr>
      <w:tr w:rsidR="0087342B" w14:paraId="3203E9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8C2F" w14:textId="77777777" w:rsidR="0087342B"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D55E" w14:textId="77777777" w:rsidR="0087342B"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5F5F" w14:textId="77777777" w:rsidR="0087342B"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B2D5" w14:textId="77777777" w:rsidR="0087342B"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3779" w14:textId="77777777" w:rsidR="0087342B" w:rsidRDefault="00000000">
            <w:r>
              <w:rPr>
                <w:sz w:val="19"/>
                <w:szCs w:val="19"/>
              </w:rPr>
              <w:t>IMC del paciente</w:t>
            </w:r>
          </w:p>
        </w:tc>
      </w:tr>
      <w:tr w:rsidR="0087342B" w14:paraId="5BAE42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179031" w14:textId="77777777" w:rsidR="0087342B"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38922" w14:textId="77777777" w:rsidR="0087342B"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B0B551"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28C7B5" w14:textId="77777777" w:rsidR="0087342B"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823814" w14:textId="77777777" w:rsidR="0087342B" w:rsidRDefault="00000000">
            <w:r>
              <w:rPr>
                <w:sz w:val="19"/>
                <w:szCs w:val="19"/>
              </w:rPr>
              <w:t>Fracción morfotipo benigno C2</w:t>
            </w:r>
          </w:p>
        </w:tc>
      </w:tr>
      <w:tr w:rsidR="0087342B" w14:paraId="3993C7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8C7A" w14:textId="77777777" w:rsidR="0087342B"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00B6" w14:textId="77777777" w:rsidR="0087342B"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AF82B"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7059" w14:textId="77777777" w:rsidR="0087342B"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E160" w14:textId="77777777" w:rsidR="0087342B" w:rsidRDefault="00000000">
            <w:r>
              <w:rPr>
                <w:sz w:val="19"/>
                <w:szCs w:val="19"/>
              </w:rPr>
              <w:t>Fracción morfotipo benigno C1</w:t>
            </w:r>
          </w:p>
        </w:tc>
      </w:tr>
      <w:tr w:rsidR="0087342B" w14:paraId="5578F4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5CA9AC" w14:textId="77777777" w:rsidR="0087342B"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E616B4" w14:textId="77777777" w:rsidR="0087342B"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01F4E5"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1CD89F" w14:textId="77777777" w:rsidR="0087342B"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AF2706" w14:textId="77777777" w:rsidR="0087342B" w:rsidRDefault="00000000">
            <w:r>
              <w:rPr>
                <w:sz w:val="19"/>
                <w:szCs w:val="19"/>
              </w:rPr>
              <w:t>Fracción en estado L protector</w:t>
            </w:r>
          </w:p>
        </w:tc>
      </w:tr>
      <w:tr w:rsidR="0087342B" w14:paraId="01157E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A0B7" w14:textId="77777777" w:rsidR="0087342B"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13B76" w14:textId="77777777" w:rsidR="0087342B"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2F36F"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D3CD" w14:textId="77777777" w:rsidR="0087342B"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74B" w14:textId="77777777" w:rsidR="0087342B" w:rsidRDefault="00000000">
            <w:r>
              <w:rPr>
                <w:sz w:val="19"/>
                <w:szCs w:val="19"/>
              </w:rPr>
              <w:t>Fracción en estado L patológico</w:t>
            </w:r>
          </w:p>
        </w:tc>
      </w:tr>
      <w:tr w:rsidR="0087342B" w14:paraId="0FAE6C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0D254" w14:textId="77777777" w:rsidR="0087342B"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B19E1C" w14:textId="77777777" w:rsidR="0087342B"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0B62FD"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E158B1" w14:textId="77777777" w:rsidR="0087342B"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145931" w14:textId="77777777" w:rsidR="0087342B" w:rsidRDefault="00000000">
            <w:r>
              <w:rPr>
                <w:sz w:val="19"/>
                <w:szCs w:val="19"/>
              </w:rPr>
              <w:t>Fracción en estado M patológico</w:t>
            </w:r>
          </w:p>
        </w:tc>
      </w:tr>
      <w:tr w:rsidR="0087342B" w14:paraId="3BA9F9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1F9C" w14:textId="77777777" w:rsidR="0087342B"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7724" w14:textId="77777777" w:rsidR="0087342B"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28741" w14:textId="77777777" w:rsidR="0087342B"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A706" w14:textId="77777777" w:rsidR="0087342B"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65ED" w14:textId="77777777" w:rsidR="0087342B" w:rsidRDefault="00000000">
            <w:r>
              <w:rPr>
                <w:sz w:val="19"/>
                <w:szCs w:val="19"/>
              </w:rPr>
              <w:t>Tiempo de vigilia tras inicio de sueño</w:t>
            </w:r>
          </w:p>
        </w:tc>
      </w:tr>
      <w:tr w:rsidR="0087342B" w14:paraId="7A458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CD243D" w14:textId="77777777" w:rsidR="0087342B"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2F3ECEA" w14:textId="77777777" w:rsidR="0087342B"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D47BB1"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9A0600" w14:textId="77777777" w:rsidR="0087342B"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E4F987" w14:textId="77777777" w:rsidR="0087342B" w:rsidRDefault="00000000">
            <w:r>
              <w:rPr>
                <w:sz w:val="19"/>
                <w:szCs w:val="19"/>
              </w:rPr>
              <w:t>Fracción en estado M protector</w:t>
            </w:r>
          </w:p>
        </w:tc>
      </w:tr>
    </w:tbl>
    <w:p w14:paraId="59516E91" w14:textId="77777777" w:rsidR="0087342B" w:rsidRDefault="00000000">
      <w:pPr>
        <w:spacing w:after="220"/>
        <w:ind w:left="220"/>
      </w:pPr>
      <w:r>
        <w:rPr>
          <w:i/>
          <w:iCs/>
          <w:color w:val="444444"/>
          <w:sz w:val="18"/>
          <w:szCs w:val="18"/>
        </w:rPr>
        <w:t>Nota. Gini promediado sobre 8 folds LOPO-CV. Rangos 6–10 aproximados desde figura 06_feature_importance_gini.png. Origen: NB06.</w:t>
      </w:r>
    </w:p>
    <w:p w14:paraId="240B8413" w14:textId="77777777" w:rsidR="0087342B" w:rsidRDefault="00000000">
      <w:pPr>
        <w:spacing w:before="120"/>
        <w:jc w:val="center"/>
      </w:pPr>
      <w:r>
        <w:rPr>
          <w:noProof/>
        </w:rPr>
        <w:lastRenderedPageBreak/>
        <w:drawing>
          <wp:inline distT="0" distB="0" distL="0" distR="0" wp14:anchorId="78D2B09D" wp14:editId="45CE7A03">
            <wp:extent cx="5238750" cy="4181475"/>
            <wp:effectExtent l="0" t="0" r="0" b="0"/>
            <wp:docPr id="1883059579"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4181475"/>
                    </a:xfrm>
                    <a:prstGeom prst="rect">
                      <a:avLst/>
                    </a:prstGeom>
                  </pic:spPr>
                </pic:pic>
              </a:graphicData>
            </a:graphic>
          </wp:inline>
        </w:drawing>
      </w:r>
    </w:p>
    <w:p w14:paraId="68D686BF" w14:textId="77777777" w:rsidR="0087342B" w:rsidRDefault="00000000">
      <w:pPr>
        <w:spacing w:before="80" w:after="60"/>
        <w:ind w:left="220"/>
      </w:pPr>
      <w:r>
        <w:rPr>
          <w:b/>
          <w:bCs/>
          <w:color w:val="1E3A5F"/>
          <w:sz w:val="20"/>
          <w:szCs w:val="20"/>
        </w:rPr>
        <w:t xml:space="preserve">Figura 6.7. </w:t>
      </w:r>
      <w:r>
        <w:rPr>
          <w:i/>
          <w:iCs/>
          <w:sz w:val="20"/>
          <w:szCs w:val="20"/>
        </w:rPr>
        <w:t>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14:paraId="08FC2FEC" w14:textId="77777777" w:rsidR="0087342B" w:rsidRDefault="00000000">
      <w:pPr>
        <w:spacing w:after="220"/>
        <w:ind w:left="220"/>
      </w:pPr>
      <w:r>
        <w:rPr>
          <w:i/>
          <w:iCs/>
          <w:color w:val="444444"/>
          <w:sz w:val="18"/>
          <w:szCs w:val="18"/>
        </w:rPr>
        <w:t>Nota. Origen: NB06. n = 540 noches, 8 pacientes. Barras = media ± SD sobre los 8 folds LOPO-CV.</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F1A41DA" w14:textId="77777777" w:rsidR="0087342B" w:rsidRDefault="00000000">
      <w:pPr>
        <w:spacing w:before="120"/>
        <w:jc w:val="center"/>
      </w:pPr>
      <w:r>
        <w:rPr>
          <w:noProof/>
        </w:rPr>
        <w:lastRenderedPageBreak/>
        <w:drawing>
          <wp:inline distT="0" distB="0" distL="0" distR="0" wp14:anchorId="1DABCF4C" wp14:editId="633C5326">
            <wp:extent cx="5238750" cy="3019425"/>
            <wp:effectExtent l="0" t="0" r="0" b="0"/>
            <wp:docPr id="440286863"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750" cy="3019425"/>
                    </a:xfrm>
                    <a:prstGeom prst="rect">
                      <a:avLst/>
                    </a:prstGeom>
                  </pic:spPr>
                </pic:pic>
              </a:graphicData>
            </a:graphic>
          </wp:inline>
        </w:drawing>
      </w:r>
    </w:p>
    <w:p w14:paraId="0D5D2EDA" w14:textId="77777777" w:rsidR="0087342B" w:rsidRDefault="00000000">
      <w:pPr>
        <w:spacing w:before="80" w:after="60"/>
        <w:ind w:left="220"/>
      </w:pPr>
      <w:r>
        <w:rPr>
          <w:b/>
          <w:bCs/>
          <w:color w:val="1E3A5F"/>
          <w:sz w:val="20"/>
          <w:szCs w:val="20"/>
        </w:rPr>
        <w:t xml:space="preserve">Figura 6.8c. </w:t>
      </w:r>
      <w:r>
        <w:rPr>
          <w:i/>
          <w:iCs/>
          <w:sz w:val="20"/>
          <w:szCs w:val="20"/>
        </w:rPr>
        <w:t>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14:paraId="4ADB0ED4" w14:textId="77777777" w:rsidR="0087342B" w:rsidRDefault="00000000">
      <w:pPr>
        <w:spacing w:after="220"/>
        <w:ind w:left="220"/>
      </w:pPr>
      <w:r>
        <w:rPr>
          <w:i/>
          <w:iCs/>
          <w:color w:val="444444"/>
          <w:sz w:val="18"/>
          <w:szCs w:val="18"/>
        </w:rPr>
        <w:t>Nota. Origen: NB06. 540 noches, 8 pacientes, LOPO-CV.</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8FA8074" w14:textId="77777777" w:rsidR="0087342B" w:rsidRDefault="00000000">
      <w:pPr>
        <w:spacing w:after="140" w:line="280" w:lineRule="auto"/>
        <w:jc w:val="both"/>
      </w:pPr>
      <w:r>
        <w:t>¿Por qué importa que PAC States dominen con 44,75 %?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14:paraId="0D1E9326" w14:textId="77777777" w:rsidR="0087342B" w:rsidRDefault="00000000">
      <w:pPr>
        <w:pStyle w:val="Ttulo2"/>
      </w:pPr>
      <w:r>
        <w:t>6.9  Modelo predictivo a nivel de evento  (NB07, Bloque B)</w:t>
      </w:r>
    </w:p>
    <w:p w14:paraId="68FFC456" w14:textId="77777777" w:rsidR="0087342B" w:rsidRDefault="00000000">
      <w:pPr>
        <w:spacing w:after="140" w:line="280" w:lineRule="auto"/>
        <w:jc w:val="both"/>
      </w:pPr>
      <w:r>
        <w:t xml:space="preserve">¿Qué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w:t>
      </w:r>
      <w:r>
        <w:lastRenderedPageBreak/>
        <w:t>umbral óptimo, el modelo acierta 4,3 veces más que un clasificador que simplemente usa la prevalencia de la clase positiva —y lo hace sin haber visto la noche completa—.</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00F116C1" w14:textId="77777777" w:rsidR="0087342B" w:rsidRDefault="00000000">
      <w:pPr>
        <w:spacing w:before="120"/>
        <w:jc w:val="center"/>
      </w:pPr>
      <w:r>
        <w:rPr>
          <w:noProof/>
        </w:rPr>
        <w:drawing>
          <wp:inline distT="0" distB="0" distL="0" distR="0" wp14:anchorId="1C4ED005" wp14:editId="168F02EC">
            <wp:extent cx="5238750" cy="2190750"/>
            <wp:effectExtent l="0" t="0" r="0" b="0"/>
            <wp:docPr id="1228807212"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38750" cy="2190750"/>
                    </a:xfrm>
                    <a:prstGeom prst="rect">
                      <a:avLst/>
                    </a:prstGeom>
                  </pic:spPr>
                </pic:pic>
              </a:graphicData>
            </a:graphic>
          </wp:inline>
        </w:drawing>
      </w:r>
    </w:p>
    <w:p w14:paraId="3C02AADA" w14:textId="77777777" w:rsidR="0087342B" w:rsidRDefault="00000000">
      <w:pPr>
        <w:spacing w:before="80" w:after="200"/>
      </w:pPr>
      <w:r>
        <w:rPr>
          <w:b/>
          <w:bCs/>
          <w:color w:val="444444"/>
          <w:sz w:val="18"/>
          <w:szCs w:val="18"/>
        </w:rPr>
        <w:t xml:space="preserve">Figura 6.9a. </w:t>
      </w:r>
      <w:r>
        <w:rPr>
          <w:color w:val="444444"/>
          <w:sz w:val="18"/>
          <w:szCs w:val="18"/>
        </w:rPr>
        <w:t>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5,97 %.</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4F88E98F" w14:textId="77777777" w:rsidR="0087342B" w:rsidRDefault="00000000">
      <w:pPr>
        <w:spacing w:before="120"/>
        <w:jc w:val="center"/>
      </w:pPr>
      <w:r>
        <w:rPr>
          <w:noProof/>
        </w:rPr>
        <w:drawing>
          <wp:inline distT="0" distB="0" distL="0" distR="0" wp14:anchorId="2BDE530D" wp14:editId="0B24F716">
            <wp:extent cx="5238750" cy="3019425"/>
            <wp:effectExtent l="0" t="0" r="0" b="0"/>
            <wp:docPr id="1926100748"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3019425"/>
                    </a:xfrm>
                    <a:prstGeom prst="rect">
                      <a:avLst/>
                    </a:prstGeom>
                  </pic:spPr>
                </pic:pic>
              </a:graphicData>
            </a:graphic>
          </wp:inline>
        </w:drawing>
      </w:r>
    </w:p>
    <w:p w14:paraId="5274EF43" w14:textId="77777777" w:rsidR="0087342B" w:rsidRDefault="00000000">
      <w:pPr>
        <w:spacing w:before="80" w:after="60"/>
        <w:ind w:left="220"/>
      </w:pPr>
      <w:r>
        <w:rPr>
          <w:b/>
          <w:bCs/>
          <w:color w:val="1E3A5F"/>
          <w:sz w:val="20"/>
          <w:szCs w:val="20"/>
        </w:rPr>
        <w:t xml:space="preserve">Figura 6.9c. </w:t>
      </w:r>
      <w:r>
        <w:rPr>
          <w:i/>
          <w:iCs/>
          <w:sz w:val="20"/>
          <w:szCs w:val="20"/>
        </w:rPr>
        <w:t>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14:paraId="6B0BAEC9"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5AC8023C" w14:textId="77777777" w:rsidR="0087342B" w:rsidRDefault="00000000">
      <w:pPr>
        <w:pStyle w:val="Ttulo2"/>
      </w:pPr>
      <w:r>
        <w:t>6.10  Modelo predictivo a nivel de noche  (NB07, Bloque C)</w:t>
      </w:r>
    </w:p>
    <w:p w14:paraId="460AA8CA" w14:textId="77777777" w:rsidR="0087342B" w:rsidRDefault="00000000">
      <w:pPr>
        <w:spacing w:after="140" w:line="280" w:lineRule="auto"/>
        <w:jc w:val="both"/>
      </w:pPr>
      <w:r>
        <w:t>¿Qué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0,905 y AP = 0,834 sobre baseline de 0,348—.</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494 noches con prevalencia de clase positiva del 34,8 % (172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0,905 y Average Precision = 0,834 (baseline = 0,348). El Random Forest obtuvo AUC = 0,783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0,905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0,834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0,348</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0,783</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0,348</w:t>
            </w:r>
          </w:p>
        </w:tc>
      </w:tr>
    </w:tbl>
    <w:p w14:paraId="1C2D4751" w14:textId="77777777" w:rsidR="0087342B" w:rsidRDefault="00000000">
      <w:pPr>
        <w:spacing w:after="220"/>
        <w:ind w:left="220"/>
      </w:pPr>
      <w:r>
        <w:rPr>
          <w:i/>
          <w:iCs/>
          <w:color w:val="444444"/>
          <w:sz w:val="18"/>
          <w:szCs w:val="18"/>
        </w:rPr>
        <w:t>Nota. Clasificación binaria: Normal+Leve vs. Moderado+Severo. n = 494 noches, 8 pacientes. Origen: NB07, Bloque C.</w:t>
      </w:r>
    </w:p>
    <w:p w14:paraId="1015B4A3" w14:textId="77777777" w:rsidR="0087342B" w:rsidRDefault="00000000">
      <w:pPr>
        <w:spacing w:before="120"/>
        <w:jc w:val="center"/>
      </w:pPr>
      <w:r>
        <w:rPr>
          <w:noProof/>
        </w:rPr>
        <w:lastRenderedPageBreak/>
        <w:drawing>
          <wp:inline distT="0" distB="0" distL="0" distR="0" wp14:anchorId="2427C6E8" wp14:editId="250689CD">
            <wp:extent cx="5238750" cy="2276475"/>
            <wp:effectExtent l="0" t="0" r="0" b="0"/>
            <wp:docPr id="1309691282"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38750" cy="2276475"/>
                    </a:xfrm>
                    <a:prstGeom prst="rect">
                      <a:avLst/>
                    </a:prstGeom>
                  </pic:spPr>
                </pic:pic>
              </a:graphicData>
            </a:graphic>
          </wp:inline>
        </w:drawing>
      </w:r>
    </w:p>
    <w:p w14:paraId="2BBF8C43" w14:textId="77777777" w:rsidR="0087342B" w:rsidRDefault="00000000">
      <w:pPr>
        <w:spacing w:before="80" w:after="200"/>
      </w:pPr>
      <w:r>
        <w:rPr>
          <w:b/>
          <w:bCs/>
          <w:color w:val="444444"/>
          <w:sz w:val="18"/>
          <w:szCs w:val="18"/>
        </w:rPr>
        <w:t xml:space="preserve">Figura 6.11a. </w:t>
      </w:r>
      <w:r>
        <w:rPr>
          <w:color w:val="444444"/>
          <w:sz w:val="18"/>
          <w:szCs w:val="18"/>
        </w:rPr>
        <w:t>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0,905) aprende a separar.</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0,905, AP = 0,834. Random Forest (rojo): AUC = 0,783, AP = 0,649. Baseline AP = 0,348 (prevalencia de clase positiva).</w:t>
      </w:r>
    </w:p>
    <w:p w14:paraId="4793BF89" w14:textId="77777777" w:rsidR="0087342B" w:rsidRDefault="00000000">
      <w:pPr>
        <w:spacing w:after="220"/>
        <w:ind w:left="220"/>
      </w:pPr>
      <w:r>
        <w:rPr>
          <w:i/>
          <w:iCs/>
          <w:color w:val="444444"/>
          <w:sz w:val="18"/>
          <w:szCs w:val="18"/>
        </w:rPr>
        <w:t>Nota. Origen: NB07, Bloque C. n = 494 noches, 8 pacientes.</w:t>
      </w:r>
    </w:p>
    <w:p w14:paraId="0A27D279" w14:textId="77777777" w:rsidR="0087342B" w:rsidRDefault="00000000">
      <w:pPr>
        <w:spacing w:before="120"/>
        <w:jc w:val="center"/>
      </w:pPr>
      <w:r>
        <w:rPr>
          <w:noProof/>
        </w:rPr>
        <w:lastRenderedPageBreak/>
        <w:drawing>
          <wp:inline distT="0" distB="0" distL="0" distR="0" wp14:anchorId="381579EC" wp14:editId="2AF31892">
            <wp:extent cx="5238750" cy="3019425"/>
            <wp:effectExtent l="0" t="0" r="0" b="0"/>
            <wp:docPr id="964442977"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38750" cy="3019425"/>
                    </a:xfrm>
                    <a:prstGeom prst="rect">
                      <a:avLst/>
                    </a:prstGeom>
                  </pic:spPr>
                </pic:pic>
              </a:graphicData>
            </a:graphic>
          </wp:inline>
        </w:drawing>
      </w:r>
    </w:p>
    <w:p w14:paraId="34C22E6B" w14:textId="77777777" w:rsidR="0087342B" w:rsidRDefault="00000000">
      <w:pPr>
        <w:spacing w:before="80" w:after="60"/>
        <w:ind w:left="220"/>
      </w:pPr>
      <w:r>
        <w:rPr>
          <w:b/>
          <w:bCs/>
          <w:color w:val="1E3A5F"/>
          <w:sz w:val="20"/>
          <w:szCs w:val="20"/>
        </w:rPr>
        <w:t xml:space="preserve">Figura 6.11c. </w:t>
      </w:r>
      <w:r>
        <w:rPr>
          <w:i/>
          <w:iCs/>
          <w:sz w:val="20"/>
          <w:szCs w:val="20"/>
        </w:rPr>
        <w:t>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14:paraId="187B9D22" w14:textId="77777777" w:rsidR="0087342B" w:rsidRDefault="00000000">
      <w:pPr>
        <w:spacing w:after="220"/>
        <w:ind w:left="220"/>
      </w:pPr>
      <w:r>
        <w:rPr>
          <w:i/>
          <w:iCs/>
          <w:color w:val="444444"/>
          <w:sz w:val="18"/>
          <w:szCs w:val="18"/>
        </w:rPr>
        <w:t>Nota. Origen: NB07 Bloque C. n = 494 noches, 8 pacientes. Regresión logística LOPO-CV.</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0,905.</w:t>
      </w:r>
    </w:p>
    <w:p w14:paraId="36A23953" w14:textId="77777777" w:rsidR="0087342B" w:rsidRDefault="00000000">
      <w:pPr>
        <w:pStyle w:val="Ttulo2"/>
      </w:pPr>
      <w:r>
        <w:t>6.11  Interpretabilidad del modelo nocturno</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6.12  Risk Score PAC: integración evento–noche  (NB07, Bloque D)</w:t>
      </w:r>
    </w:p>
    <w:p w14:paraId="7D3368F9" w14:textId="77777777" w:rsidR="0087342B" w:rsidRDefault="00000000">
      <w:pPr>
        <w:spacing w:after="140" w:line="280" w:lineRule="auto"/>
        <w:jc w:val="both"/>
      </w:pPr>
      <w:r>
        <w:t xml:space="preserve">¿Por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w:t>
      </w:r>
      <w:r>
        <w:lastRenderedPageBreak/>
        <w:t>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0,905</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AUC superior (0,905 frente a 0,878), su naturaleza global —condensa la arquitectura completa de la noche— y su menor sensibilidad al ruido de señal en ventanas individuales. La elección 40/60 no fue sometida a análisis de sensibilidad formal; este aspecto está reconocido como limitación en §6.15.</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494 noches. El 100 % de las Severas superan el umbral 60; el 77,6 % de las Moderadas; el 9,4 % de las Leves; el 0 % de las Normales.</w:t>
      </w:r>
    </w:p>
    <w:p w14:paraId="2C89AB07" w14:textId="77777777" w:rsidR="0087342B" w:rsidRDefault="00000000">
      <w:pPr>
        <w:spacing w:before="120"/>
        <w:jc w:val="center"/>
      </w:pPr>
      <w:r>
        <w:rPr>
          <w:noProof/>
        </w:rPr>
        <w:drawing>
          <wp:inline distT="0" distB="0" distL="0" distR="0" wp14:anchorId="58514C55" wp14:editId="41EA3830">
            <wp:extent cx="5238750" cy="2009775"/>
            <wp:effectExtent l="0" t="0" r="0" b="0"/>
            <wp:docPr id="1072944584"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38750" cy="2009775"/>
                    </a:xfrm>
                    <a:prstGeom prst="rect">
                      <a:avLst/>
                    </a:prstGeom>
                  </pic:spPr>
                </pic:pic>
              </a:graphicData>
            </a:graphic>
          </wp:inline>
        </w:drawing>
      </w:r>
    </w:p>
    <w:p w14:paraId="3872E64A" w14:textId="77777777" w:rsidR="0087342B"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2AF967F2" w14:textId="77777777" w:rsidR="0087342B" w:rsidRDefault="00000000">
      <w:pPr>
        <w:spacing w:after="220"/>
        <w:ind w:left="220"/>
      </w:pPr>
      <w:r>
        <w:rPr>
          <w:i/>
          <w:iCs/>
          <w:color w:val="444444"/>
          <w:sz w:val="18"/>
          <w:szCs w:val="18"/>
        </w:rPr>
        <w:t>Nota. Origen: NB07, Bloque D. n = 494 noches.</w:t>
      </w:r>
    </w:p>
    <w:p w14:paraId="3D157832" w14:textId="77777777" w:rsidR="0087342B" w:rsidRDefault="00000000">
      <w:pPr>
        <w:spacing w:before="120"/>
        <w:jc w:val="center"/>
      </w:pPr>
      <w:r>
        <w:rPr>
          <w:noProof/>
        </w:rPr>
        <w:drawing>
          <wp:inline distT="0" distB="0" distL="0" distR="0" wp14:anchorId="517A6513" wp14:editId="5F84695C">
            <wp:extent cx="5238750" cy="3019425"/>
            <wp:effectExtent l="0" t="0" r="0" b="0"/>
            <wp:docPr id="1170233807"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38750" cy="3019425"/>
                    </a:xfrm>
                    <a:prstGeom prst="rect">
                      <a:avLst/>
                    </a:prstGeom>
                  </pic:spPr>
                </pic:pic>
              </a:graphicData>
            </a:graphic>
          </wp:inline>
        </w:drawing>
      </w:r>
    </w:p>
    <w:p w14:paraId="7BB0E25D" w14:textId="77777777" w:rsidR="0087342B" w:rsidRDefault="00000000">
      <w:pPr>
        <w:spacing w:before="80" w:after="60"/>
        <w:ind w:left="220"/>
      </w:pPr>
      <w:r>
        <w:rPr>
          <w:b/>
          <w:bCs/>
          <w:color w:val="1E3A5F"/>
          <w:sz w:val="20"/>
          <w:szCs w:val="20"/>
        </w:rPr>
        <w:t xml:space="preserve">Figura 6.12c. </w:t>
      </w:r>
      <w:r>
        <w:rPr>
          <w:i/>
          <w:iCs/>
          <w:sz w:val="20"/>
          <w:szCs w:val="20"/>
        </w:rPr>
        <w:t>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14:paraId="4BE8FF92" w14:textId="77777777" w:rsidR="0087342B" w:rsidRDefault="00000000">
      <w:pPr>
        <w:spacing w:after="220"/>
        <w:ind w:left="220"/>
      </w:pPr>
      <w:r>
        <w:rPr>
          <w:i/>
          <w:iCs/>
          <w:color w:val="444444"/>
          <w:sz w:val="18"/>
          <w:szCs w:val="18"/>
        </w:rPr>
        <w:t>Nota. Origen: NB07 Bloque D. Gradiente calculado sobre 494 noches, 8 pacientes.</w:t>
      </w:r>
    </w:p>
    <w:p w14:paraId="44A1728F" w14:textId="77777777" w:rsidR="0087342B" w:rsidRDefault="00000000">
      <w:pPr>
        <w:pStyle w:val="Ttulo2"/>
      </w:pPr>
      <w:r>
        <w:t>6.13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2E9F895C" w14:textId="77777777" w:rsidR="0087342B" w:rsidRDefault="00000000">
      <w:pPr>
        <w:spacing w:after="140" w:line="280" w:lineRule="auto"/>
        <w:jc w:val="both"/>
      </w:pPr>
      <w:r>
        <w:t>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0,905)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396550F6" w14:textId="77777777" w:rsidR="0087342B" w:rsidRDefault="00000000">
      <w:pPr>
        <w:pStyle w:val="Ttulo2"/>
      </w:pPr>
      <w:r>
        <w:t>6.14  Relación con los capítulos previos</w:t>
      </w:r>
    </w:p>
    <w:p w14:paraId="7EDFB7BB" w14:textId="77777777" w:rsidR="0087342B" w:rsidRDefault="00000000">
      <w:pPr>
        <w:spacing w:after="140" w:line="280" w:lineRule="auto"/>
        <w:jc w:val="both"/>
      </w:pPr>
      <w:r>
        <w:t>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679878AB" w14:textId="77777777" w:rsidR="0087342B"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5F5A1C00" w14:textId="77777777" w:rsidR="0087342B" w:rsidRDefault="00000000">
      <w:pPr>
        <w:pStyle w:val="Ttulo2"/>
      </w:pPr>
      <w:r>
        <w:t>6.15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6.16  Conclusión</w:t>
      </w:r>
    </w:p>
    <w:p w14:paraId="59AA4335" w14:textId="77777777" w:rsidR="0087342B"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4,70 la probabilidad de observar un evento severo; M1 por 3,29; L0 por 1,98.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73E13DF7" w14:textId="77777777" w:rsidR="0087342B" w:rsidRDefault="00000000">
      <w:pPr>
        <w:spacing w:after="140" w:line="280" w:lineRule="auto"/>
        <w:jc w:val="both"/>
      </w:pPr>
      <w:r>
        <w:t>Los modelos predictivos cuantifican el valor de las representaciones PAC. La clasificación de riesgo nocturno binario alcanza AUC = 0,905 (AP = 0,834 frente a baseline 0,348),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p w14:paraId="2DFDE90C" w14:textId="77777777" w:rsidR="0087342B" w:rsidRDefault="00000000">
      <w:pPr>
        <w:pStyle w:val="Ttulo2"/>
      </w:pPr>
      <w:r>
        <w:t>Referencias</w:t>
      </w:r>
    </w:p>
    <w:p w14:paraId="00E23181" w14:textId="77777777" w:rsidR="0087342B"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0091C190" w14:textId="77777777" w:rsidR="0087342B"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72BB5E6B" w14:textId="77777777" w:rsidR="0087342B" w:rsidRDefault="00000000">
      <w:pPr>
        <w:spacing w:after="140" w:line="280" w:lineRule="auto"/>
        <w:jc w:val="both"/>
      </w:pPr>
      <w:r>
        <w:t>Inza, R., et al. (en preparación). Fenotipado morfológico y respuesta autonómica en eventos de desaturación nocturna: el Índice de Reactividad Autonómica (ARI). [T1]</w:t>
      </w:r>
    </w:p>
    <w:p w14:paraId="1922218D" w14:textId="77777777" w:rsidR="0087342B" w:rsidRDefault="00000000">
      <w:pPr>
        <w:spacing w:after="140" w:line="280" w:lineRule="auto"/>
        <w:jc w:val="both"/>
      </w:pPr>
      <w:r>
        <w:t>Inza, R., et al. (en preparación). Estados dinámicos multiescala de la fisiología respiratoria nocturna: morfotipos, carga hipóxica y reactividad autonómica. [T2]</w:t>
      </w:r>
    </w:p>
    <w:p w14:paraId="4D6DCDF4" w14:textId="77777777" w:rsidR="0087342B" w:rsidRDefault="00000000">
      <w:pPr>
        <w:spacing w:after="140" w:line="280" w:lineRule="auto"/>
        <w:jc w:val="both"/>
      </w:pPr>
      <w:r>
        <w:t>Inza, R., et al. (en preparación). Acoplamiento evento–estado, trayectorias nocturnas y predicción de severidad en SAOS: el sistema PAC. [T3]</w:t>
      </w:r>
    </w:p>
    <w:p w14:paraId="0882D82B" w14:textId="77777777" w:rsidR="0087342B" w:rsidRDefault="00000000">
      <w:pPr>
        <w:spacing w:after="140" w:line="280" w:lineRule="auto"/>
        <w:jc w:val="both"/>
      </w:pPr>
      <w:r>
        <w:t>Landis, J. R., &amp; Koch, G. G. (1977). The measurement of observer agreement for categorical data. Biometrics, 33(1), 159–174. https://doi.org/10.2307/2529310</w:t>
      </w:r>
    </w:p>
    <w:p w14:paraId="1EABAAE3" w14:textId="77777777" w:rsidR="0087342B"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3AC781F5" w14:textId="77777777" w:rsidR="0087342B" w:rsidRDefault="00000000">
      <w:pPr>
        <w:spacing w:after="140" w:line="280" w:lineRule="auto"/>
        <w:jc w:val="both"/>
      </w:pPr>
      <w:r>
        <w:t>Wasserstein, R. L., &amp; Lazar, N. A. (2016). The ASA statement on p-values: context, process, and purpose. The American Statistician, 70(2), 129–133. https://doi.org/10.1080/00031305.2016.1154108</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