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16  ·  Mayo 2026</w:t>
      </w:r>
    </w:p>
    <w:p w14:paraId="44239F02" w14:textId="77777777" w:rsidR="0087342B" w:rsidRDefault="00000000">
      <w:pPr>
        <w:pStyle w:val="Ttulo2"/>
      </w:pPr>
      <w:r>
        <w:t>6.1  Introducción</w:t>
      </w:r>
    </w:p>
    <w:p w14:paraId="2597ED3D" w14:textId="77777777" w:rsidR="0087342B" w:rsidRDefault="00000000">
      <w:pPr>
        <w:pBdr>
          <w:left w:val="thick" w:sz="12" w:space="12" w:color="1E3A5F"/>
        </w:pBdr>
        <w:spacing w:after="160"/>
        <w:ind w:left="320"/>
      </w:pPr>
      <w:r>
        <w:rPr>
          <w:i/>
          <w:iCs/>
          <w:color w:val="2E5F8A"/>
          <w:sz w:val="21"/>
          <w:szCs w:val="21"/>
        </w:rPr>
        <w:t>Son las 2:47 de la madrugada. El organismo lleva 23 minutos en estado M1 continuo y 3 de los últimos 8 eventos fueron de morfotipo C4. Cuando el pipeline procese la señal a la mañana siguiente, el Risk Score PAC de esa noche será 79/100. Nada de esto aparecerá en el ODI3 matinal —ese índice solo registrará que ocurrieron 14 eventos por hora—. Ahora considerar dos pacientes con ese mismo ODI3 = 14 ev/h, clasificados idénticos por criterios AASM: Moderados. El primero pasó el 78 % de su noche en estado M1; el segundo, el 3 %. Sus Risk Scores: 82 y 21 sobre 100. Lo que los separa no es la frecuencia de eventos sino la arquitectura dinámica de la noche — y eso es lo que este capítulo busca cuantificar y predecir.</w:t>
      </w:r>
    </w:p>
    <w:p w14:paraId="50750B03" w14:textId="77777777" w:rsidR="0087342B" w:rsidRDefault="00000000">
      <w:pPr>
        <w:spacing w:before="120"/>
        <w:jc w:val="center"/>
      </w:pPr>
      <w:r>
        <w:rPr>
          <w:noProof/>
        </w:rPr>
        <w:drawing>
          <wp:inline distT="0" distB="0" distL="0" distR="0" wp14:anchorId="12D17663" wp14:editId="08B77A67">
            <wp:extent cx="5238750" cy="1447800"/>
            <wp:effectExtent l="0" t="0" r="0" b="0"/>
            <wp:docPr id="1" name="Arco narrativo de la tesis — Cap06 como nodo de síntesis" descr="Arco narrativo de la tesis — Cap06 como nodo de síntesis" title="Arco narrativo de la tesis — Cap06 como nodo de sí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447800"/>
                    </a:xfrm>
                    <a:prstGeom prst="rect">
                      <a:avLst/>
                    </a:prstGeom>
                  </pic:spPr>
                </pic:pic>
              </a:graphicData>
            </a:graphic>
          </wp:inline>
        </w:drawing>
      </w:r>
    </w:p>
    <w:p w14:paraId="3534415D" w14:textId="77777777" w:rsidR="0087342B" w:rsidRDefault="00000000">
      <w:pPr>
        <w:spacing w:before="80" w:after="200"/>
      </w:pPr>
      <w:r>
        <w:rPr>
          <w:b/>
          <w:bCs/>
          <w:color w:val="444444"/>
          <w:sz w:val="18"/>
          <w:szCs w:val="18"/>
        </w:rPr>
        <w:t xml:space="preserve">Figura 6.0. </w:t>
      </w:r>
      <w:r>
        <w:rPr>
          <w:color w:val="444444"/>
          <w:sz w:val="18"/>
          <w:szCs w:val="18"/>
        </w:rPr>
        <w:t>Posición de este capítulo en el arco narrativo de la tesis. Cap04 y Cap05 construyeron las representaciones (morfotipos C1–C5 y PAC States S/M/L); Cap06 las integra para cuantificar el acoplamiento entre contexto fisiológico dinámico y severidad de evento, construir los modelos predictivos e integrarlos en el Risk Score PAC. Los capítulos siguientes traducen esa predicción en herramienta clínica (Cap07) y la extienden al dominio prospectivo con habilitación del estimulador terapéutico (Cap08).</w:t>
      </w:r>
    </w:p>
    <w:p w14:paraId="30BC6D5E" w14:textId="2A9D53CA" w:rsidR="0087342B" w:rsidRDefault="00000000">
      <w:pPr>
        <w:spacing w:after="140" w:line="280" w:lineRule="auto"/>
        <w:jc w:val="both"/>
      </w:pPr>
      <w:r>
        <w:t>La pregunta central que organiza este capítulo es la de la relación entre dos mundos que los capítulos anteriores construyeron por separado: el mundo de los eventos individuales de desaturación (Cap04) y el mundo de los estados fisiológicos dinámicos (Cap05). Un EDO no ocurre en el vacío: ocurre en un contexto fisiológico —una configuración de oximetría, frecuencia cardíaca y movimiento que define un estado PAC— y ese contexto podría condicionar tanto la morfología del evento como su impacto sobre el organismo. La primera pregunta, entonces, es si los morfotipos más severos tienden a concentrarse en ciertos estados PAC, o si morfotipo y estado son fenómenos que se distribuyen de manera independiente.</w:t>
      </w:r>
      <w:r w:rsidR="00A6607A">
        <w:t xml:space="preserve"> </w:t>
      </w:r>
      <w:r w:rsidR="00A6607A">
        <w:t>A esa relación entre el estado fisiológico activo y la morfología del evento que ocurre en él se la denomina acoplamiento.</w:t>
      </w:r>
    </w:p>
    <w:p w14:paraId="47BC8E28" w14:textId="77777777" w:rsidR="0087342B" w:rsidRDefault="00000000">
      <w:pPr>
        <w:spacing w:after="140" w:line="280" w:lineRule="auto"/>
        <w:jc w:val="both"/>
      </w:pPr>
      <w:r>
        <w:t xml:space="preserve">Si existe acoplamiento, nace naturalmente una segunda pregunta: ¿cuánto de ese acoplamiento caracteriza a cada noche en particular? Dos noches con la misma frecuencia de eventos podrían diferir radicalmente en cuánta de esa carga se desarrolló en contextos fisiológicamente comprometidos. Traducir esa diferencia a una propiedad nocturna es el objetivo del </w:t>
      </w:r>
      <w:r w:rsidRPr="00A6607A">
        <w:rPr>
          <w:i/>
          <w:iCs/>
        </w:rPr>
        <w:t>Coupling Index</w:t>
      </w:r>
      <w:r>
        <w:t xml:space="preserve">: no mide cuántos eventos ocurrieron, sino en qué estados del organismo ocurrieron. El paso siguiente es temporal: los estados no son estáticos, transicionan y crean trayectorias. La dinámica Markoviana y los fenotipos de </w:t>
      </w:r>
      <w:r>
        <w:lastRenderedPageBreak/>
        <w:t>trayectoria nocturna permiten pasar de una descripción promedio a una descripción arquitectural de la noche —qué tipo de noche fue, más allá de cualquier índice escalar—.</w:t>
      </w:r>
    </w:p>
    <w:p w14:paraId="27A67AA9" w14:textId="77777777" w:rsidR="0087342B" w:rsidRDefault="00000000">
      <w:pPr>
        <w:spacing w:after="140" w:line="280" w:lineRule="auto"/>
        <w:jc w:val="both"/>
      </w:pPr>
      <w:r>
        <w:t>Con esas representaciones construidas, la pregunta se desplaza hacia la caracterización: ¿es posible leer la arquitectura dinámica de una noche y determinar si terminó siendo severa? No se trata de anticipar el futuro sino de describir la noche como un todo —cómo se organizaron sus eventos, en qué estados transcurrió, qué trayectoria siguió— y reconocer el tipo de noche que fue.</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56043006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18069BC6" w14:textId="77777777" w:rsidR="0087342B" w:rsidRDefault="00000000">
      <w:pPr>
        <w:spacing w:after="140" w:line="280" w:lineRule="auto"/>
        <w:jc w:val="both"/>
      </w:pPr>
      <w:r>
        <w:t>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14:paraId="5092C39C" w14:textId="77777777" w:rsidR="0087342B" w:rsidRDefault="00000000">
      <w:pPr>
        <w:pStyle w:val="Ttulo2"/>
      </w:pPr>
      <w:r>
        <w:t>6.2  Datos, cohorte y diseño analítico</w:t>
      </w:r>
    </w:p>
    <w:p w14:paraId="296718DB" w14:textId="77777777" w:rsidR="0087342B" w:rsidRDefault="00000000">
      <w:pPr>
        <w:spacing w:after="140" w:line="280" w:lineRule="auto"/>
        <w:jc w:val="both"/>
      </w:pPr>
      <w:r>
        <w:t xml:space="preserve">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w:t>
      </w:r>
      <w:r>
        <w:lastRenderedPageBreak/>
        <w:t>análisis de acoplamiento de NB05 se realizaron sobre los 12 pacientes de la cohorte in_strict (83.892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14:paraId="73315396" w14:textId="77777777" w:rsidR="0087342B" w:rsidRDefault="00000000">
      <w:pPr>
        <w:spacing w:after="140" w:line="280" w:lineRule="auto"/>
        <w:jc w:val="both"/>
      </w:pPr>
      <w:r>
        <w:t>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540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(83.892 eventos con morfotipo y estado asignado, 560 noches). El modelo nocturno opera sobre las 540 noches de la cohorte estricta.</w:t>
      </w:r>
    </w:p>
    <w:p w14:paraId="727E560E" w14:textId="77777777" w:rsidR="0087342B" w:rsidRDefault="00000000">
      <w:pPr>
        <w:pStyle w:val="Ttulo2"/>
      </w:pPr>
      <w:r>
        <w:t>6.3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7F16C4CA" w14:textId="77777777" w:rsidR="0087342B" w:rsidRDefault="00000000">
      <w:pPr>
        <w:spacing w:after="140" w:line="280" w:lineRule="auto"/>
        <w:jc w:val="both"/>
      </w:pPr>
      <w:r>
        <w:lastRenderedPageBreak/>
        <w:t>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14:paraId="4B6B5FBA" w14:textId="77777777" w:rsidR="0087342B" w:rsidRDefault="00000000">
      <w:pPr>
        <w:spacing w:before="120"/>
        <w:jc w:val="center"/>
      </w:pPr>
      <w:r>
        <w:rPr>
          <w:noProof/>
        </w:rPr>
        <w:drawing>
          <wp:inline distT="0" distB="0" distL="0" distR="0" wp14:anchorId="1B20CC1D" wp14:editId="5443284F">
            <wp:extent cx="5238750" cy="1714500"/>
            <wp:effectExtent l="0" t="0" r="0" b="0"/>
            <wp:docPr id="1899303327"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1714500"/>
                    </a:xfrm>
                    <a:prstGeom prst="rect">
                      <a:avLst/>
                    </a:prstGeom>
                  </pic:spPr>
                </pic:pic>
              </a:graphicData>
            </a:graphic>
          </wp:inline>
        </w:drawing>
      </w:r>
    </w:p>
    <w:p w14:paraId="71444A45" w14:textId="77777777" w:rsidR="0087342B" w:rsidRDefault="00000000">
      <w:pPr>
        <w:spacing w:before="80" w:after="60"/>
        <w:ind w:left="220"/>
      </w:pPr>
      <w:r>
        <w:rPr>
          <w:b/>
          <w:bCs/>
          <w:color w:val="1E3A5F"/>
          <w:sz w:val="20"/>
          <w:szCs w:val="20"/>
        </w:rPr>
        <w:t xml:space="preserve">Figura 6.1. </w:t>
      </w:r>
      <w:r>
        <w:rPr>
          <w:i/>
          <w:iCs/>
          <w:sz w:val="20"/>
          <w:szCs w:val="20"/>
        </w:rPr>
        <w:t>Distribución condicional P(morfotipo | estado PAC) en las tres escalas. Los estados patológicos (S6, M1, L0) concentran una proporción marcadamente superior de morfotipos C4 o C5. V de Cramér: S = 0,355; M = 0,229; L = 0,194.</w:t>
      </w:r>
    </w:p>
    <w:p w14:paraId="63E221E4" w14:textId="77777777" w:rsidR="0087342B" w:rsidRDefault="00000000">
      <w:pPr>
        <w:spacing w:after="220"/>
        <w:ind w:left="220"/>
      </w:pPr>
      <w:r>
        <w:rPr>
          <w:i/>
          <w:iCs/>
          <w:color w:val="444444"/>
          <w:sz w:val="18"/>
          <w:szCs w:val="18"/>
        </w:rPr>
        <w:t>Nota. Origen: NB05, Sección 2. n = 83.892 eventos, cohorte in_strict (12 pacientes).</w:t>
      </w:r>
    </w:p>
    <w:p w14:paraId="753B0629" w14:textId="77777777" w:rsidR="0087342B" w:rsidRDefault="00000000">
      <w:pPr>
        <w:spacing w:before="120"/>
        <w:jc w:val="center"/>
      </w:pPr>
      <w:r>
        <w:rPr>
          <w:noProof/>
        </w:rPr>
        <w:drawing>
          <wp:inline distT="0" distB="0" distL="0" distR="0" wp14:anchorId="2F6E4C3F" wp14:editId="356FD5CB">
            <wp:extent cx="5238750" cy="1533525"/>
            <wp:effectExtent l="0" t="0" r="0" b="0"/>
            <wp:docPr id="926487157"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1533525"/>
                    </a:xfrm>
                    <a:prstGeom prst="rect">
                      <a:avLst/>
                    </a:prstGeom>
                  </pic:spPr>
                </pic:pic>
              </a:graphicData>
            </a:graphic>
          </wp:inline>
        </w:drawing>
      </w:r>
    </w:p>
    <w:p w14:paraId="74684708" w14:textId="77777777" w:rsidR="0087342B" w:rsidRDefault="00000000">
      <w:pPr>
        <w:spacing w:before="80" w:after="60"/>
        <w:ind w:left="220"/>
      </w:pPr>
      <w:r>
        <w:rPr>
          <w:b/>
          <w:bCs/>
          <w:color w:val="1E3A5F"/>
          <w:sz w:val="20"/>
          <w:szCs w:val="20"/>
        </w:rPr>
        <w:lastRenderedPageBreak/>
        <w:t xml:space="preserve">Figura 6.2. </w:t>
      </w:r>
      <w:r>
        <w:rPr>
          <w:i/>
          <w:iCs/>
          <w:sz w:val="20"/>
          <w:szCs w:val="20"/>
        </w:rPr>
        <w:t>Riesgo relativo (RR) de evento severo por estado PAC en las tres escalas. Los estados patológicos S6, M1 y L0 presentan los RR más elevados. La magnitud del RR decrece con la escala temporal de forma consistente con la disminución de V de Cramér.</w:t>
      </w:r>
    </w:p>
    <w:p w14:paraId="5F79EC93" w14:textId="77777777" w:rsidR="0087342B" w:rsidRDefault="00000000">
      <w:pPr>
        <w:spacing w:after="220"/>
        <w:ind w:left="220"/>
      </w:pPr>
      <w:r>
        <w:rPr>
          <w:i/>
          <w:iCs/>
          <w:color w:val="444444"/>
          <w:sz w:val="18"/>
          <w:szCs w:val="18"/>
        </w:rPr>
        <w:t>Nota. Origen: NB05, Sección 2. P(severo) marginal = 5,97 %. n = 83.892 eventos, 12 pacientes.</w:t>
      </w:r>
    </w:p>
    <w:p w14:paraId="6375A82E" w14:textId="77777777" w:rsidR="0087342B" w:rsidRDefault="00000000">
      <w:pPr>
        <w:spacing w:before="120"/>
        <w:jc w:val="center"/>
      </w:pPr>
      <w:r>
        <w:rPr>
          <w:noProof/>
        </w:rPr>
        <w:drawing>
          <wp:inline distT="0" distB="0" distL="0" distR="0" wp14:anchorId="1E699C79" wp14:editId="54A48B9F">
            <wp:extent cx="5238750" cy="2819400"/>
            <wp:effectExtent l="0" t="0" r="0" b="0"/>
            <wp:docPr id="1967231547" name="Diagrama conceptual acoplamiento morfotipo–estado PAC" descr="Diagrama conceptual acoplamiento morfotipo–estado PAC" title="Diagrama conceptual acoplamiento morfotipo–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2819400"/>
                    </a:xfrm>
                    <a:prstGeom prst="rect">
                      <a:avLst/>
                    </a:prstGeom>
                  </pic:spPr>
                </pic:pic>
              </a:graphicData>
            </a:graphic>
          </wp:inline>
        </w:drawing>
      </w:r>
    </w:p>
    <w:p w14:paraId="33C1D251" w14:textId="77777777" w:rsidR="0087342B" w:rsidRDefault="00000000">
      <w:pPr>
        <w:spacing w:before="80" w:after="60"/>
        <w:ind w:left="220"/>
      </w:pPr>
      <w:r>
        <w:rPr>
          <w:b/>
          <w:bCs/>
          <w:color w:val="1E3A5F"/>
          <w:sz w:val="20"/>
          <w:szCs w:val="20"/>
        </w:rPr>
        <w:t xml:space="preserve">Figura 6.2c. </w:t>
      </w:r>
      <w:r>
        <w:rPr>
          <w:i/>
          <w:iCs/>
          <w:sz w:val="20"/>
          <w:szCs w:val="20"/>
        </w:rPr>
        <w:t>Acoplamiento morfotipo–estado PAC (escala M). El estado fisiológico activo en los 5 minutos previos al evento predice la morfología de la caída de SpO₂: P(severo | M0) &lt; 2 %; P(severo | M1) = 38,6 %. V de Cramér = 0,230 (NB05, escala M).</w:t>
      </w:r>
    </w:p>
    <w:p w14:paraId="2DAE2C97" w14:textId="77777777" w:rsidR="0087342B" w:rsidRDefault="00000000">
      <w:pPr>
        <w:spacing w:after="220"/>
        <w:ind w:left="220"/>
      </w:pPr>
      <w:r>
        <w:rPr>
          <w:i/>
          <w:iCs/>
          <w:color w:val="444444"/>
          <w:sz w:val="18"/>
          <w:szCs w:val="18"/>
        </w:rPr>
        <w:t>Nota. Diagrama conceptual. Valores de probabilidad representativos del modelo LightGBM (NB07 Bloque B, LOPO-CV). Origen: NB05 §2.</w:t>
      </w:r>
    </w:p>
    <w:p w14:paraId="0DF17B6B" w14:textId="77777777" w:rsidR="0087342B" w:rsidRDefault="00000000">
      <w:pPr>
        <w:pStyle w:val="Ttulo2"/>
      </w:pPr>
      <w:r>
        <w:t>6.4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14:paraId="30C4EF61" w14:textId="77777777" w:rsidR="0087342B" w:rsidRDefault="00000000">
      <w:pPr>
        <w:spacing w:before="120"/>
        <w:jc w:val="center"/>
      </w:pPr>
      <w:r>
        <w:rPr>
          <w:noProof/>
        </w:rPr>
        <w:drawing>
          <wp:inline distT="0" distB="0" distL="0" distR="0" wp14:anchorId="478D3F68" wp14:editId="10C66129">
            <wp:extent cx="5238750" cy="1628775"/>
            <wp:effectExtent l="0" t="0" r="0" b="0"/>
            <wp:docPr id="1388138434"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1628775"/>
                    </a:xfrm>
                    <a:prstGeom prst="rect">
                      <a:avLst/>
                    </a:prstGeom>
                  </pic:spPr>
                </pic:pic>
              </a:graphicData>
            </a:graphic>
          </wp:inline>
        </w:drawing>
      </w:r>
    </w:p>
    <w:p w14:paraId="0E203AA7" w14:textId="77777777" w:rsidR="0087342B" w:rsidRDefault="00000000">
      <w:pPr>
        <w:spacing w:before="80" w:after="60"/>
        <w:ind w:left="220"/>
      </w:pPr>
      <w:r>
        <w:rPr>
          <w:b/>
          <w:bCs/>
          <w:color w:val="1E3A5F"/>
          <w:sz w:val="20"/>
          <w:szCs w:val="20"/>
        </w:rPr>
        <w:t xml:space="preserve">Figura 6.3. </w:t>
      </w:r>
      <w:r>
        <w:rPr>
          <w:i/>
          <w:iCs/>
          <w:sz w:val="20"/>
          <w:szCs w:val="20"/>
        </w:rPr>
        <w:t>Coupling index (CI) en las tres escalas temporales. Cada punto representa una noche. La independencia entre ci_s y ci_m (r = 0,066) contrasta con la correlación moderada entre ci_m y ci_l (r = 0,291), confirmando que las tres escalas capturan dimensiones no redundantes del riesgo nocturno.</w:t>
      </w:r>
    </w:p>
    <w:p w14:paraId="0576C70D" w14:textId="77777777" w:rsidR="0087342B" w:rsidRDefault="00000000">
      <w:pPr>
        <w:spacing w:after="220"/>
        <w:ind w:left="220"/>
      </w:pPr>
      <w:r>
        <w:rPr>
          <w:i/>
          <w:iCs/>
          <w:color w:val="444444"/>
          <w:sz w:val="18"/>
          <w:szCs w:val="18"/>
        </w:rPr>
        <w:t>Nota. Origen: NB05, Sección 3. n = 560 noches, cohorte in_strict (12 pacientes).</w:t>
      </w:r>
    </w:p>
    <w:p w14:paraId="38BF01E8" w14:textId="77777777" w:rsidR="0087342B" w:rsidRDefault="00000000">
      <w:pPr>
        <w:spacing w:after="140" w:line="280" w:lineRule="auto"/>
        <w:jc w:val="both"/>
      </w:pPr>
      <w:r>
        <w:t>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14:paraId="12B9065D" w14:textId="77777777" w:rsidR="0087342B" w:rsidRDefault="00000000">
      <w:pPr>
        <w:spacing w:before="120"/>
        <w:jc w:val="center"/>
      </w:pPr>
      <w:r>
        <w:rPr>
          <w:noProof/>
        </w:rPr>
        <w:drawing>
          <wp:inline distT="0" distB="0" distL="0" distR="0" wp14:anchorId="258A1659" wp14:editId="3D880D81">
            <wp:extent cx="5238750" cy="2886075"/>
            <wp:effectExtent l="0" t="0" r="0" b="0"/>
            <wp:docPr id="1280973263" name="Diagrama conceptual Coupling Index nocturno" descr="Diagrama conceptual Coupling Index nocturno" title="Diagrama conceptual Coupling Index noc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2886075"/>
                    </a:xfrm>
                    <a:prstGeom prst="rect">
                      <a:avLst/>
                    </a:prstGeom>
                  </pic:spPr>
                </pic:pic>
              </a:graphicData>
            </a:graphic>
          </wp:inline>
        </w:drawing>
      </w:r>
    </w:p>
    <w:p w14:paraId="5F35D288" w14:textId="77777777" w:rsidR="0087342B" w:rsidRDefault="00000000">
      <w:pPr>
        <w:spacing w:before="80" w:after="60"/>
        <w:ind w:left="220"/>
      </w:pPr>
      <w:r>
        <w:rPr>
          <w:b/>
          <w:bCs/>
          <w:color w:val="1E3A5F"/>
          <w:sz w:val="20"/>
          <w:szCs w:val="20"/>
        </w:rPr>
        <w:t xml:space="preserve">Figura 6.4c. </w:t>
      </w:r>
      <w:r>
        <w:rPr>
          <w:i/>
          <w:iCs/>
          <w:sz w:val="20"/>
          <w:szCs w:val="20"/>
        </w:rPr>
        <w:t>Coupling Index: dos noches con ODI3 = 14 ev/h y CI opuesto (0,12 vs. 0,75). La distribución de eventos en zonas protectoras (verde) o patológicas (rojo) determina el CI. El ODI3 no distingue estos perfiles; el CI sí. Las tres propiedades del índice se resumen en la parte inferior.</w:t>
      </w:r>
    </w:p>
    <w:p w14:paraId="2EDAA6D1" w14:textId="77777777" w:rsidR="0087342B" w:rsidRDefault="00000000">
      <w:pPr>
        <w:spacing w:after="220"/>
        <w:ind w:left="220"/>
      </w:pPr>
      <w:r>
        <w:rPr>
          <w:i/>
          <w:iCs/>
          <w:color w:val="444444"/>
          <w:sz w:val="18"/>
          <w:szCs w:val="18"/>
        </w:rPr>
        <w:t>Nota. Diagrama conceptual. Valores ilustrativos consistentes con la distribución empírica del corpus (NB05 §3).</w:t>
      </w:r>
    </w:p>
    <w:p w14:paraId="153E59A0" w14:textId="77777777" w:rsidR="0087342B" w:rsidRDefault="00000000">
      <w:pPr>
        <w:pStyle w:val="Ttulo2"/>
      </w:pPr>
      <w:r>
        <w:lastRenderedPageBreak/>
        <w:t>6.5  Dinámica temporal peri-evento y resiliencia fisiológica  (NB05, Sección 4)</w:t>
      </w:r>
    </w:p>
    <w:p w14:paraId="1400FD5C" w14:textId="77777777" w:rsidR="0087342B" w:rsidRDefault="00000000">
      <w:pPr>
        <w:spacing w:after="140" w:line="280" w:lineRule="auto"/>
        <w:jc w:val="both"/>
      </w:pPr>
      <w:r>
        <w:t>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6AFD1746" w14:textId="77777777" w:rsidR="0087342B" w:rsidRDefault="00000000">
      <w:pPr>
        <w:spacing w:before="120"/>
        <w:jc w:val="center"/>
      </w:pPr>
      <w:r>
        <w:rPr>
          <w:noProof/>
        </w:rPr>
        <w:drawing>
          <wp:inline distT="0" distB="0" distL="0" distR="0" wp14:anchorId="277AD80B" wp14:editId="2EBEF118">
            <wp:extent cx="5238750" cy="1628775"/>
            <wp:effectExtent l="0" t="0" r="0" b="0"/>
            <wp:docPr id="1055980836"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1628775"/>
                    </a:xfrm>
                    <a:prstGeom prst="rect">
                      <a:avLst/>
                    </a:prstGeom>
                  </pic:spPr>
                </pic:pic>
              </a:graphicData>
            </a:graphic>
          </wp:inline>
        </w:drawing>
      </w:r>
    </w:p>
    <w:p w14:paraId="0A72B592" w14:textId="77777777" w:rsidR="0087342B" w:rsidRDefault="00000000">
      <w:pPr>
        <w:spacing w:before="80" w:after="60"/>
        <w:ind w:left="220"/>
      </w:pPr>
      <w:r>
        <w:rPr>
          <w:b/>
          <w:bCs/>
          <w:color w:val="1E3A5F"/>
          <w:sz w:val="20"/>
          <w:szCs w:val="20"/>
        </w:rPr>
        <w:t xml:space="preserve">Figura 6.4. </w:t>
      </w:r>
      <w:r>
        <w:rPr>
          <w:i/>
          <w:iCs/>
          <w:sz w:val="20"/>
          <w:szCs w:val="20"/>
        </w:rPr>
        <w:t>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14:paraId="6DAC4D1F" w14:textId="77777777" w:rsidR="0087342B" w:rsidRDefault="00000000">
      <w:pPr>
        <w:spacing w:after="220"/>
        <w:ind w:left="220"/>
      </w:pPr>
      <w:r>
        <w:rPr>
          <w:i/>
          <w:iCs/>
          <w:color w:val="444444"/>
          <w:sz w:val="18"/>
          <w:szCs w:val="18"/>
        </w:rPr>
        <w:t>Nota. Origen: NB05, Sección 4. n = 4.602 eventos C4+C5, cohorte in_strict (12 pacientes).</w:t>
      </w:r>
    </w:p>
    <w:p w14:paraId="0617891D" w14:textId="77777777" w:rsidR="0087342B" w:rsidRDefault="00000000">
      <w:pPr>
        <w:spacing w:before="120"/>
        <w:jc w:val="center"/>
      </w:pPr>
      <w:r>
        <w:rPr>
          <w:noProof/>
        </w:rPr>
        <w:lastRenderedPageBreak/>
        <w:drawing>
          <wp:inline distT="0" distB="0" distL="0" distR="0" wp14:anchorId="6E33EA0D" wp14:editId="58A6E7BD">
            <wp:extent cx="5238750" cy="2886075"/>
            <wp:effectExtent l="0" t="0" r="0" b="0"/>
            <wp:docPr id="1756183999" name="Diagrama conceptual resiliencia peri-evento por escala temporal" descr="Diagrama conceptual resiliencia peri-evento por escala temporal" title="Diagrama conceptual resiliencia peri-evento por escala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2886075"/>
                    </a:xfrm>
                    <a:prstGeom prst="rect">
                      <a:avLst/>
                    </a:prstGeom>
                  </pic:spPr>
                </pic:pic>
              </a:graphicData>
            </a:graphic>
          </wp:inline>
        </w:drawing>
      </w:r>
    </w:p>
    <w:p w14:paraId="4FF3D1C2" w14:textId="77777777" w:rsidR="0087342B" w:rsidRDefault="00000000">
      <w:pPr>
        <w:spacing w:before="80" w:after="60"/>
        <w:ind w:left="220"/>
      </w:pPr>
      <w:r>
        <w:rPr>
          <w:b/>
          <w:bCs/>
          <w:color w:val="1E3A5F"/>
          <w:sz w:val="20"/>
          <w:szCs w:val="20"/>
        </w:rPr>
        <w:t xml:space="preserve">Figura 6.5c. </w:t>
      </w:r>
      <w:r>
        <w:rPr>
          <w:i/>
          <w:iCs/>
          <w:sz w:val="20"/>
          <w:szCs w:val="20"/>
        </w:rPr>
        <w:t>Dinámica peri-evento y resiliencia fisiológica. Tras un evento severo (C4/C5), la probabilidad de permanecer en estado patológico cae a distintas velocidades: 43,3 % a los 30 s (escala S), 12,3 % a los 5 min (escala M), 1,3 % a los 30 min (escala L). La inercia crece con la escala temporal.</w:t>
      </w:r>
    </w:p>
    <w:p w14:paraId="57C2F078" w14:textId="77777777" w:rsidR="0087342B" w:rsidRDefault="00000000">
      <w:pPr>
        <w:spacing w:after="220"/>
        <w:ind w:left="220"/>
      </w:pPr>
      <w:r>
        <w:rPr>
          <w:i/>
          <w:iCs/>
          <w:color w:val="444444"/>
          <w:sz w:val="18"/>
          <w:szCs w:val="18"/>
        </w:rPr>
        <w:t>Nota. Diagrama conceptual. Porcentajes calculados sobre corpus de 560 noches (NB05 §4).</w:t>
      </w:r>
    </w:p>
    <w:p w14:paraId="6C900222" w14:textId="77777777" w:rsidR="0087342B" w:rsidRDefault="00000000">
      <w:pPr>
        <w:pStyle w:val="Ttulo2"/>
      </w:pPr>
      <w:r>
        <w:t>6.6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14:paraId="169B45ED" w14:textId="77777777" w:rsidR="0087342B" w:rsidRDefault="00000000">
      <w:pPr>
        <w:spacing w:before="120"/>
        <w:jc w:val="center"/>
      </w:pPr>
      <w:r>
        <w:rPr>
          <w:noProof/>
        </w:rPr>
        <w:drawing>
          <wp:inline distT="0" distB="0" distL="0" distR="0" wp14:anchorId="1615109C" wp14:editId="412AE712">
            <wp:extent cx="5238750" cy="1524000"/>
            <wp:effectExtent l="0" t="0" r="0" b="0"/>
            <wp:docPr id="453519139"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1524000"/>
                    </a:xfrm>
                    <a:prstGeom prst="rect">
                      <a:avLst/>
                    </a:prstGeom>
                  </pic:spPr>
                </pic:pic>
              </a:graphicData>
            </a:graphic>
          </wp:inline>
        </w:drawing>
      </w:r>
    </w:p>
    <w:p w14:paraId="5DD642F4" w14:textId="77777777" w:rsidR="0087342B" w:rsidRDefault="00000000">
      <w:pPr>
        <w:spacing w:before="80" w:after="60"/>
        <w:ind w:left="220"/>
      </w:pPr>
      <w:r>
        <w:rPr>
          <w:b/>
          <w:bCs/>
          <w:color w:val="1E3A5F"/>
          <w:sz w:val="20"/>
          <w:szCs w:val="20"/>
        </w:rPr>
        <w:t xml:space="preserve">Figura 6.5. </w:t>
      </w:r>
      <w:r>
        <w:rPr>
          <w:i/>
          <w:iCs/>
          <w:sz w:val="20"/>
          <w:szCs w:val="20"/>
        </w:rPr>
        <w:t xml:space="preserve">Matrices de transición Markoviana de los PAC States en las tres escalas. La intensidad del color representa la probabilidad de transición del estado fila al estado columna. </w:t>
      </w:r>
      <w:r>
        <w:rPr>
          <w:i/>
          <w:iCs/>
          <w:sz w:val="20"/>
          <w:szCs w:val="20"/>
        </w:rPr>
        <w:lastRenderedPageBreak/>
        <w:t>Los atractores del sistema (S1, M0, L3) presentan alta probabilidad de auto-transición. Los estados patológicos (S6, M1, L0) muestran probabilidades de salida reducidas, consistentes con la baja resiliencia observada en §6.5.</w:t>
      </w:r>
    </w:p>
    <w:p w14:paraId="7FD36AC5" w14:textId="77777777" w:rsidR="0087342B" w:rsidRDefault="00000000">
      <w:pPr>
        <w:spacing w:after="220"/>
        <w:ind w:left="220"/>
      </w:pPr>
      <w:r>
        <w:rPr>
          <w:i/>
          <w:iCs/>
          <w:color w:val="444444"/>
          <w:sz w:val="18"/>
          <w:szCs w:val="18"/>
        </w:rPr>
        <w:t>Nota. Origen: NB05, Sección 5. Transiciones: S = 462.519; M = 45.900; L = 7.196. Cadenas Markov de primer orden, 12 pacientes.</w:t>
      </w:r>
    </w:p>
    <w:p w14:paraId="6CB4097D" w14:textId="77777777" w:rsidR="0087342B" w:rsidRDefault="00000000">
      <w:pPr>
        <w:spacing w:before="120"/>
        <w:jc w:val="center"/>
      </w:pPr>
      <w:r>
        <w:rPr>
          <w:noProof/>
        </w:rPr>
        <w:drawing>
          <wp:inline distT="0" distB="0" distL="0" distR="0" wp14:anchorId="25EF726F" wp14:editId="6E05DE71">
            <wp:extent cx="5238750" cy="2952750"/>
            <wp:effectExtent l="0" t="0" r="0" b="0"/>
            <wp:docPr id="1208954792" name="Diagrama red Markoviana PAC States escala M corredores de vulnerabilidad" descr="Diagrama red Markoviana PAC States escala M corredores de vulnerabilidad" title="Diagrama red Markoviana PAC States escala M corredores de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2952750"/>
                    </a:xfrm>
                    <a:prstGeom prst="rect">
                      <a:avLst/>
                    </a:prstGeom>
                  </pic:spPr>
                </pic:pic>
              </a:graphicData>
            </a:graphic>
          </wp:inline>
        </w:drawing>
      </w:r>
    </w:p>
    <w:p w14:paraId="51DCFF43" w14:textId="77777777" w:rsidR="0087342B" w:rsidRDefault="00000000">
      <w:pPr>
        <w:spacing w:before="80" w:after="60"/>
        <w:ind w:left="220"/>
      </w:pPr>
      <w:r>
        <w:rPr>
          <w:b/>
          <w:bCs/>
          <w:color w:val="1E3A5F"/>
          <w:sz w:val="20"/>
          <w:szCs w:val="20"/>
        </w:rPr>
        <w:t xml:space="preserve">Figura 6.6c. </w:t>
      </w:r>
      <w:r>
        <w:rPr>
          <w:i/>
          <w:iCs/>
          <w:sz w:val="20"/>
          <w:szCs w:val="20"/>
        </w:rPr>
        <w:t>Red de transiciones Markovianas entre estados PAC (escala M, 45.900 transiciones). M0 es el atractor principal del sistema (★). El corredor de vulnerabilidad M3→M1 conduce sistemáticamente a eventos severos (RR × 3,3). El corredor protector M0↔M2 representa la dinámica de recuperación fisiológica. El grosor de la flecha indica frecuencia relativa de transición.</w:t>
      </w:r>
    </w:p>
    <w:p w14:paraId="26399B1D" w14:textId="77777777" w:rsidR="0087342B" w:rsidRDefault="00000000">
      <w:pPr>
        <w:spacing w:after="220"/>
        <w:ind w:left="220"/>
      </w:pPr>
      <w:r>
        <w:rPr>
          <w:i/>
          <w:iCs/>
          <w:color w:val="444444"/>
          <w:sz w:val="18"/>
          <w:szCs w:val="18"/>
        </w:rPr>
        <w:t>Nota. Origen: NB05 §5. Transiciones calculadas sobre 560 noches, escala M (ventanas de 5 min).</w:t>
      </w:r>
    </w:p>
    <w:p w14:paraId="0B005EFC" w14:textId="77777777" w:rsidR="0087342B" w:rsidRDefault="00000000">
      <w:pPr>
        <w:pStyle w:val="Ttulo2"/>
      </w:pPr>
      <w:r>
        <w:t>6.7  Trayectorias nocturnas: fenotipos dinámicos globales  (NB05, Sección 6)</w:t>
      </w:r>
    </w:p>
    <w:p w14:paraId="2848ACE9" w14:textId="77777777" w:rsidR="0087342B" w:rsidRDefault="00000000">
      <w:pPr>
        <w:spacing w:after="140" w:line="280" w:lineRule="auto"/>
        <w:jc w:val="both"/>
      </w:pPr>
      <w:r>
        <w:t>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(530 noches con todas las features disponibles) se aplicó PCA seguido de K-means (K = 3).</w:t>
      </w:r>
    </w:p>
    <w:p w14:paraId="071E2570" w14:textId="77777777" w:rsidR="0087342B" w:rsidRDefault="00000000">
      <w:pPr>
        <w:spacing w:after="140" w:line="280" w:lineRule="auto"/>
        <w:jc w:val="both"/>
      </w:pPr>
      <w:r>
        <w:t>El PCA identificó dos ejes principales que explican el 57,2 % de la varianza combinada (PC1 = 33,3 %; PC2 = 23,4 %). Los tres fenotipos resultantes son: Estable-Protector (fracción M1 = 2,5 %; eventos severos = 3,1 %; ARI = 0,524), Carga Intermedia (mayor entropía = 1,933; mayor número de transiciones = 43; ARI = 0,492; eventos severos = 5,3 %) y Carga Hipóxica Alta (M1 = 78,1 %; eventos severos = 37,9 %; ARI = 0,284; ≈6 transiciones). La Tabla 6.5 presenta el perfil completo.</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513 noches, 12 pacientes. Origen: NB05, Sección 6.</w:t>
      </w:r>
    </w:p>
    <w:p w14:paraId="4D2D0407" w14:textId="77777777" w:rsidR="0087342B" w:rsidRDefault="00000000">
      <w:pPr>
        <w:spacing w:before="120"/>
        <w:jc w:val="center"/>
      </w:pPr>
      <w:r>
        <w:rPr>
          <w:noProof/>
        </w:rPr>
        <w:drawing>
          <wp:inline distT="0" distB="0" distL="0" distR="0" wp14:anchorId="7233983F" wp14:editId="4064AB30">
            <wp:extent cx="5238750" cy="2390775"/>
            <wp:effectExtent l="0" t="0" r="0" b="0"/>
            <wp:docPr id="340051649"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2390775"/>
                    </a:xfrm>
                    <a:prstGeom prst="rect">
                      <a:avLst/>
                    </a:prstGeom>
                  </pic:spPr>
                </pic:pic>
              </a:graphicData>
            </a:graphic>
          </wp:inline>
        </w:drawing>
      </w:r>
    </w:p>
    <w:p w14:paraId="5300689E" w14:textId="77777777" w:rsidR="0087342B" w:rsidRDefault="00000000">
      <w:pPr>
        <w:spacing w:before="80" w:after="60"/>
        <w:ind w:left="220"/>
      </w:pPr>
      <w:r>
        <w:rPr>
          <w:b/>
          <w:bCs/>
          <w:color w:val="1E3A5F"/>
          <w:sz w:val="20"/>
          <w:szCs w:val="20"/>
        </w:rPr>
        <w:t xml:space="preserve">Figura 6.6. </w:t>
      </w:r>
      <w:r>
        <w:rPr>
          <w:i/>
          <w:iCs/>
          <w:sz w:val="20"/>
          <w:szCs w:val="20"/>
        </w:rPr>
        <w:t>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14:paraId="51BA5AB3" w14:textId="77777777" w:rsidR="0087342B" w:rsidRDefault="00000000">
      <w:pPr>
        <w:spacing w:after="220"/>
        <w:ind w:left="220"/>
      </w:pPr>
      <w:r>
        <w:rPr>
          <w:i/>
          <w:iCs/>
          <w:color w:val="444444"/>
          <w:sz w:val="18"/>
          <w:szCs w:val="18"/>
        </w:rPr>
        <w:t>Nota. Origen: NB05, Sección 6. n = 513 noches. El fenotipo Carga Hipóxica Alta aparece en el 4,4 % de las noches AASM Moderadas y en el 0 % de las Severas.</w:t>
      </w:r>
    </w:p>
    <w:p w14:paraId="4535160A" w14:textId="77777777" w:rsidR="0087342B" w:rsidRDefault="00000000">
      <w:pPr>
        <w:spacing w:before="120"/>
        <w:jc w:val="center"/>
      </w:pPr>
      <w:r>
        <w:rPr>
          <w:noProof/>
        </w:rPr>
        <w:lastRenderedPageBreak/>
        <w:drawing>
          <wp:inline distT="0" distB="0" distL="0" distR="0" wp14:anchorId="7108257A" wp14:editId="6092BFBD">
            <wp:extent cx="5238750" cy="2952750"/>
            <wp:effectExtent l="0" t="0" r="0" b="0"/>
            <wp:docPr id="1382551798" name="Diagrama tres fenotipos de trayectoria nocturna PAC K=3" descr="Diagrama tres fenotipos de trayectoria nocturna PAC K=3" title="Diagrama tres fenotipos de trayectoria nocturna PAC 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2952750"/>
                    </a:xfrm>
                    <a:prstGeom prst="rect">
                      <a:avLst/>
                    </a:prstGeom>
                  </pic:spPr>
                </pic:pic>
              </a:graphicData>
            </a:graphic>
          </wp:inline>
        </w:drawing>
      </w:r>
    </w:p>
    <w:p w14:paraId="209B5ED1" w14:textId="77777777" w:rsidR="0087342B" w:rsidRDefault="00000000">
      <w:pPr>
        <w:spacing w:before="80" w:after="60"/>
        <w:ind w:left="220"/>
      </w:pPr>
      <w:r>
        <w:rPr>
          <w:b/>
          <w:bCs/>
          <w:color w:val="1E3A5F"/>
          <w:sz w:val="20"/>
          <w:szCs w:val="20"/>
        </w:rPr>
        <w:t xml:space="preserve">Figura 6.7c. </w:t>
      </w:r>
      <w:r>
        <w:rPr>
          <w:i/>
          <w:iCs/>
          <w:sz w:val="20"/>
          <w:szCs w:val="20"/>
        </w:rPr>
        <w:t>Tres fenotipos de trayectoria nocturna (K-means K=3, NB05 §6). Estable-Protector (28 %): dominancia M0/M2, eventos escasos, Risk Score PAC bajo. Carga Intermedia (70 %): alternancia M0–M1–M2, recuperación entre episodios. Carga Hipóxica Alta (1 %): dominancia M1 sostenida, sin consolidación protectora, Risk Score PAC alto. Hallazgo clave: el fenotipo CHA puede presentarse en pacientes con ODI3 = 14 ev/h (Moderado AASM).</w:t>
      </w:r>
    </w:p>
    <w:p w14:paraId="039141F5" w14:textId="77777777" w:rsidR="0087342B" w:rsidRDefault="00000000">
      <w:pPr>
        <w:spacing w:after="220"/>
        <w:ind w:left="220"/>
      </w:pPr>
      <w:r>
        <w:rPr>
          <w:i/>
          <w:iCs/>
          <w:color w:val="444444"/>
          <w:sz w:val="18"/>
          <w:szCs w:val="18"/>
        </w:rPr>
        <w:t>Nota. Diagrama conceptual. Distribuciones de estados y Risk Score consistentes con corpus NB05 §6 / NB07 Bloque D.</w:t>
      </w:r>
    </w:p>
    <w:p w14:paraId="769C1929" w14:textId="77777777" w:rsidR="0087342B" w:rsidRDefault="00000000">
      <w:pPr>
        <w:pStyle w:val="Ttulo2"/>
      </w:pPr>
      <w:r>
        <w:t>6.8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4C8AD9A5" w14:textId="77777777" w:rsidR="0087342B" w:rsidRDefault="00000000">
      <w:pPr>
        <w:spacing w:after="140" w:line="280" w:lineRule="auto"/>
        <w:jc w:val="both"/>
      </w:pPr>
      <w:r>
        <w:t>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14:paraId="05CC68DC" w14:textId="77777777" w:rsidR="0087342B" w:rsidRDefault="00000000">
      <w:pPr>
        <w:spacing w:after="140" w:line="280" w:lineRule="auto"/>
        <w:jc w:val="both"/>
      </w:pPr>
      <w:r>
        <w:t xml:space="preserve">El hallazgo central es que los PAC States constituyen el grupo predictor dominante: 44,8 % del peso total, seguidos de morfotipos C1–C5 (20,6 %), dinámica PAC (14,7 %), variables clínicas (10,2 %), sueño (6,8 %) y ARI (3,4 %). Los PAC States fueron </w:t>
      </w:r>
      <w:r>
        <w:lastRenderedPageBreak/>
        <w:t>aprendidos de forma completamente no supervisada, sin utilizar etiquetas clínicas de severidad. La Tabla 6.6 presenta los valores por grupo y la Tabla 6.6b las diez features individuales de mayor importancia.</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20,6 %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0ECFE21E" w14:textId="77777777" w:rsidR="0087342B" w:rsidRDefault="00000000">
      <w:pPr>
        <w:spacing w:before="280" w:after="80"/>
      </w:pPr>
      <w:r>
        <w:rPr>
          <w:b/>
          <w:bCs/>
          <w:color w:val="1E3A5F"/>
          <w:sz w:val="20"/>
          <w:szCs w:val="20"/>
        </w:rPr>
        <w:t>Tabla 6.6b. Top-10 features individuales por importancia Gini (NB06).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2"/>
        <w:gridCol w:w="2036"/>
        <w:gridCol w:w="1449"/>
        <w:gridCol w:w="847"/>
        <w:gridCol w:w="3502"/>
      </w:tblGrid>
      <w:tr w:rsidR="0087342B" w14:paraId="11B0589E"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82246FA" w14:textId="77777777" w:rsidR="0087342B" w:rsidRDefault="00000000">
            <w:r>
              <w:rPr>
                <w:b/>
                <w:bCs/>
                <w:color w:val="FFFFFF"/>
                <w:sz w:val="19"/>
                <w:szCs w:val="19"/>
              </w:rPr>
              <w:t>Rango</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09D9DC" w14:textId="77777777" w:rsidR="0087342B" w:rsidRDefault="00000000">
            <w:r>
              <w:rPr>
                <w:b/>
                <w:bCs/>
                <w:color w:val="FFFFFF"/>
                <w:sz w:val="19"/>
                <w:szCs w:val="19"/>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F79C1F" w14:textId="77777777" w:rsidR="0087342B" w:rsidRDefault="00000000">
            <w:r>
              <w:rPr>
                <w:b/>
                <w:bCs/>
                <w:color w:val="FFFFFF"/>
                <w:sz w:val="19"/>
                <w:szCs w:val="19"/>
              </w:rPr>
              <w:t>Grupo</w:t>
            </w:r>
          </w:p>
        </w:tc>
        <w:tc>
          <w:tcPr>
            <w:tcW w:w="8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02D2AE0" w14:textId="77777777" w:rsidR="0087342B" w:rsidRDefault="00000000">
            <w:r>
              <w:rPr>
                <w:b/>
                <w:bCs/>
                <w:color w:val="FFFFFF"/>
                <w:sz w:val="19"/>
                <w:szCs w:val="19"/>
              </w:rPr>
              <w:t>Gini</w:t>
            </w:r>
          </w:p>
        </w:tc>
        <w:tc>
          <w:tcPr>
            <w:tcW w:w="38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D2B681" w14:textId="77777777" w:rsidR="0087342B" w:rsidRDefault="00000000">
            <w:r>
              <w:rPr>
                <w:b/>
                <w:bCs/>
                <w:color w:val="FFFFFF"/>
                <w:sz w:val="19"/>
                <w:szCs w:val="19"/>
              </w:rPr>
              <w:t>Interpretación</w:t>
            </w:r>
          </w:p>
        </w:tc>
      </w:tr>
      <w:tr w:rsidR="0087342B" w14:paraId="5FC41E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47280" w14:textId="77777777" w:rsidR="0087342B" w:rsidRDefault="00000000">
            <w:r>
              <w:rPr>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96ED2" w14:textId="77777777" w:rsidR="0087342B" w:rsidRDefault="00000000">
            <w:r>
              <w:rPr>
                <w:sz w:val="19"/>
                <w:szCs w:val="19"/>
              </w:rPr>
              <w:t>frac_state_s_S3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D2B5C"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51D52" w14:textId="77777777" w:rsidR="0087342B" w:rsidRDefault="00000000">
            <w:r>
              <w:rPr>
                <w:sz w:val="19"/>
                <w:szCs w:val="19"/>
              </w:rPr>
              <w:t>0,0860</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2B5C6" w14:textId="77777777" w:rsidR="0087342B" w:rsidRDefault="00000000">
            <w:r>
              <w:rPr>
                <w:sz w:val="19"/>
                <w:szCs w:val="19"/>
              </w:rPr>
              <w:t>Fracción en estado S protector</w:t>
            </w:r>
          </w:p>
        </w:tc>
      </w:tr>
      <w:tr w:rsidR="0087342B" w14:paraId="54AC2AD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D14AD2" w14:textId="77777777" w:rsidR="0087342B" w:rsidRDefault="00000000">
            <w:r>
              <w:rPr>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530055F" w14:textId="77777777" w:rsidR="0087342B" w:rsidRDefault="00000000">
            <w:r>
              <w:rPr>
                <w:sz w:val="19"/>
                <w:szCs w:val="19"/>
              </w:rPr>
              <w:t>n_transitions_state_s</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E4AF85D" w14:textId="77777777" w:rsidR="0087342B" w:rsidRDefault="00000000">
            <w:r>
              <w:rPr>
                <w:sz w:val="19"/>
                <w:szCs w:val="19"/>
              </w:rPr>
              <w:t>PAC Dynamics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26D304" w14:textId="77777777" w:rsidR="0087342B" w:rsidRDefault="00000000">
            <w:r>
              <w:rPr>
                <w:sz w:val="19"/>
                <w:szCs w:val="19"/>
              </w:rPr>
              <w:t>0,0739</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7A0204" w14:textId="77777777" w:rsidR="0087342B" w:rsidRDefault="00000000">
            <w:r>
              <w:rPr>
                <w:sz w:val="19"/>
                <w:szCs w:val="19"/>
              </w:rPr>
              <w:t>Dinamismo microdinámica S</w:t>
            </w:r>
          </w:p>
        </w:tc>
      </w:tr>
      <w:tr w:rsidR="0087342B" w14:paraId="3203E9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38C2F" w14:textId="77777777" w:rsidR="0087342B" w:rsidRDefault="00000000">
            <w:r>
              <w:rPr>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D55E" w14:textId="77777777" w:rsidR="0087342B" w:rsidRDefault="00000000">
            <w:r>
              <w:rPr>
                <w:sz w:val="19"/>
                <w:szCs w:val="19"/>
              </w:rPr>
              <w:t>bmi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75F5F" w14:textId="77777777" w:rsidR="0087342B" w:rsidRDefault="00000000">
            <w:r>
              <w:rPr>
                <w:sz w:val="19"/>
                <w:szCs w:val="19"/>
              </w:rPr>
              <w:t>Clínico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2B2D5" w14:textId="77777777" w:rsidR="0087342B" w:rsidRDefault="00000000">
            <w:r>
              <w:rPr>
                <w:sz w:val="19"/>
                <w:szCs w:val="19"/>
              </w:rPr>
              <w:t>0,0731</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33779" w14:textId="77777777" w:rsidR="0087342B" w:rsidRDefault="00000000">
            <w:r>
              <w:rPr>
                <w:sz w:val="19"/>
                <w:szCs w:val="19"/>
              </w:rPr>
              <w:t>IMC del paciente</w:t>
            </w:r>
          </w:p>
        </w:tc>
      </w:tr>
      <w:tr w:rsidR="0087342B" w14:paraId="5BAE42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179031" w14:textId="77777777" w:rsidR="0087342B"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38922" w14:textId="77777777" w:rsidR="0087342B" w:rsidRDefault="00000000">
            <w:r>
              <w:rPr>
                <w:sz w:val="19"/>
                <w:szCs w:val="19"/>
              </w:rPr>
              <w:t>frac_c2</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B0B551" w14:textId="77777777" w:rsidR="0087342B"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28C7B5" w14:textId="77777777" w:rsidR="0087342B" w:rsidRDefault="00000000">
            <w:r>
              <w:rPr>
                <w:sz w:val="19"/>
                <w:szCs w:val="19"/>
              </w:rPr>
              <w:t>0,0668</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823814" w14:textId="77777777" w:rsidR="0087342B" w:rsidRDefault="00000000">
            <w:r>
              <w:rPr>
                <w:sz w:val="19"/>
                <w:szCs w:val="19"/>
              </w:rPr>
              <w:t>Fracción morfotipo benigno C2</w:t>
            </w:r>
          </w:p>
        </w:tc>
      </w:tr>
      <w:tr w:rsidR="0087342B" w14:paraId="3993C7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98C7A" w14:textId="77777777" w:rsidR="0087342B" w:rsidRDefault="00000000">
            <w:r>
              <w:rPr>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F00B6" w14:textId="77777777" w:rsidR="0087342B" w:rsidRDefault="00000000">
            <w:r>
              <w:rPr>
                <w:sz w:val="19"/>
                <w:szCs w:val="19"/>
              </w:rPr>
              <w:t>frac_c1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AF82B" w14:textId="77777777" w:rsidR="0087342B"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F7059" w14:textId="77777777" w:rsidR="0087342B" w:rsidRDefault="00000000">
            <w:r>
              <w:rPr>
                <w:sz w:val="19"/>
                <w:szCs w:val="19"/>
              </w:rPr>
              <w:t>0,0664</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E160" w14:textId="77777777" w:rsidR="0087342B" w:rsidRDefault="00000000">
            <w:r>
              <w:rPr>
                <w:sz w:val="19"/>
                <w:szCs w:val="19"/>
              </w:rPr>
              <w:t>Fracción morfotipo benigno C1</w:t>
            </w:r>
          </w:p>
        </w:tc>
      </w:tr>
      <w:tr w:rsidR="0087342B" w14:paraId="5578F4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5CA9AC" w14:textId="77777777" w:rsidR="0087342B" w:rsidRDefault="00000000">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EE616B4" w14:textId="77777777" w:rsidR="0087342B" w:rsidRDefault="00000000">
            <w:r>
              <w:rPr>
                <w:sz w:val="19"/>
                <w:szCs w:val="19"/>
              </w:rPr>
              <w:t>frac_state_l_L3</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C01F4E5"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21CD89F" w14:textId="77777777" w:rsidR="0087342B" w:rsidRDefault="00000000">
            <w:r>
              <w:rPr>
                <w:sz w:val="19"/>
                <w:szCs w:val="19"/>
              </w:rPr>
              <w:t>~0,060</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7AF2706" w14:textId="77777777" w:rsidR="0087342B" w:rsidRDefault="00000000">
            <w:r>
              <w:rPr>
                <w:sz w:val="19"/>
                <w:szCs w:val="19"/>
              </w:rPr>
              <w:t>Fracción en estado L protector</w:t>
            </w:r>
          </w:p>
        </w:tc>
      </w:tr>
      <w:tr w:rsidR="0087342B" w14:paraId="01157E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A0B7" w14:textId="77777777" w:rsidR="0087342B" w:rsidRDefault="00000000">
            <w:r>
              <w:rPr>
                <w:sz w:val="19"/>
                <w:szCs w:val="19"/>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13B76" w14:textId="77777777" w:rsidR="0087342B" w:rsidRDefault="00000000">
            <w:r>
              <w:rPr>
                <w:sz w:val="19"/>
                <w:szCs w:val="19"/>
              </w:rPr>
              <w:t>frac_state_l_L0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2F36F"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D3CD" w14:textId="77777777" w:rsidR="0087342B" w:rsidRDefault="00000000">
            <w:r>
              <w:rPr>
                <w:sz w:val="19"/>
                <w:szCs w:val="19"/>
              </w:rPr>
              <w:t>~0,059</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7174B" w14:textId="77777777" w:rsidR="0087342B" w:rsidRDefault="00000000">
            <w:r>
              <w:rPr>
                <w:sz w:val="19"/>
                <w:szCs w:val="19"/>
              </w:rPr>
              <w:t>Fracción en estado L patológico</w:t>
            </w:r>
          </w:p>
        </w:tc>
      </w:tr>
      <w:tr w:rsidR="0087342B" w14:paraId="0FAE6C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0D254" w14:textId="77777777" w:rsidR="0087342B" w:rsidRDefault="00000000">
            <w:r>
              <w:rPr>
                <w:sz w:val="19"/>
                <w:szCs w:val="19"/>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B19E1C" w14:textId="77777777" w:rsidR="0087342B" w:rsidRDefault="00000000">
            <w:r>
              <w:rPr>
                <w:sz w:val="19"/>
                <w:szCs w:val="19"/>
              </w:rPr>
              <w:t>frac_state_m_M1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0B62FD"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E158B1" w14:textId="77777777" w:rsidR="0087342B" w:rsidRDefault="00000000">
            <w:r>
              <w:rPr>
                <w:sz w:val="19"/>
                <w:szCs w:val="19"/>
              </w:rPr>
              <w:t>~0,054</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8145931" w14:textId="77777777" w:rsidR="0087342B" w:rsidRDefault="00000000">
            <w:r>
              <w:rPr>
                <w:sz w:val="19"/>
                <w:szCs w:val="19"/>
              </w:rPr>
              <w:t>Fracción en estado M patológico</w:t>
            </w:r>
          </w:p>
        </w:tc>
      </w:tr>
      <w:tr w:rsidR="0087342B" w14:paraId="3BA9F9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1F9C" w14:textId="77777777" w:rsidR="0087342B" w:rsidRDefault="00000000">
            <w:r>
              <w:rPr>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77724" w14:textId="77777777" w:rsidR="0087342B" w:rsidRDefault="00000000">
            <w:r>
              <w:rPr>
                <w:sz w:val="19"/>
                <w:szCs w:val="19"/>
              </w:rPr>
              <w:t>waso_s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28741" w14:textId="77777777" w:rsidR="0087342B" w:rsidRDefault="00000000">
            <w:r>
              <w:rPr>
                <w:sz w:val="19"/>
                <w:szCs w:val="19"/>
              </w:rPr>
              <w:t>Sueño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A706" w14:textId="77777777" w:rsidR="0087342B" w:rsidRDefault="00000000">
            <w:r>
              <w:rPr>
                <w:sz w:val="19"/>
                <w:szCs w:val="19"/>
              </w:rPr>
              <w:t>~0,053</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365ED" w14:textId="77777777" w:rsidR="0087342B" w:rsidRDefault="00000000">
            <w:r>
              <w:rPr>
                <w:sz w:val="19"/>
                <w:szCs w:val="19"/>
              </w:rPr>
              <w:t>Tiempo de vigilia tras inicio de sueño</w:t>
            </w:r>
          </w:p>
        </w:tc>
      </w:tr>
      <w:tr w:rsidR="0087342B" w14:paraId="7A458D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2CD243D" w14:textId="77777777" w:rsidR="0087342B" w:rsidRDefault="00000000">
            <w:r>
              <w:rPr>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2F3ECEA" w14:textId="77777777" w:rsidR="0087342B" w:rsidRDefault="00000000">
            <w:r>
              <w:rPr>
                <w:sz w:val="19"/>
                <w:szCs w:val="19"/>
              </w:rPr>
              <w:t>frac_state_m_M0</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D47BB1"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9A0600" w14:textId="77777777" w:rsidR="0087342B" w:rsidRDefault="00000000">
            <w:r>
              <w:rPr>
                <w:sz w:val="19"/>
                <w:szCs w:val="19"/>
              </w:rPr>
              <w:t>~0,052</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E4F987" w14:textId="77777777" w:rsidR="0087342B" w:rsidRDefault="00000000">
            <w:r>
              <w:rPr>
                <w:sz w:val="19"/>
                <w:szCs w:val="19"/>
              </w:rPr>
              <w:t>Fracción en estado M protector</w:t>
            </w:r>
          </w:p>
        </w:tc>
      </w:tr>
    </w:tbl>
    <w:p w14:paraId="59516E91" w14:textId="77777777" w:rsidR="0087342B" w:rsidRDefault="00000000">
      <w:pPr>
        <w:spacing w:after="220"/>
        <w:ind w:left="220"/>
      </w:pPr>
      <w:r>
        <w:rPr>
          <w:i/>
          <w:iCs/>
          <w:color w:val="444444"/>
          <w:sz w:val="18"/>
          <w:szCs w:val="18"/>
        </w:rPr>
        <w:t>Nota. Gini promediado sobre 8 folds LOPO-CV. Rangos 6–10 aproximados desde figura 06_feature_importance_gini.png. Origen: NB06.</w:t>
      </w:r>
    </w:p>
    <w:p w14:paraId="240B8413" w14:textId="77777777" w:rsidR="0087342B" w:rsidRDefault="00000000">
      <w:pPr>
        <w:spacing w:before="120"/>
        <w:jc w:val="center"/>
      </w:pPr>
      <w:r>
        <w:rPr>
          <w:noProof/>
        </w:rPr>
        <w:lastRenderedPageBreak/>
        <w:drawing>
          <wp:inline distT="0" distB="0" distL="0" distR="0" wp14:anchorId="78D2B09D" wp14:editId="45CE7A03">
            <wp:extent cx="5238750" cy="4181475"/>
            <wp:effectExtent l="0" t="0" r="0" b="0"/>
            <wp:docPr id="1883059579"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38750" cy="4181475"/>
                    </a:xfrm>
                    <a:prstGeom prst="rect">
                      <a:avLst/>
                    </a:prstGeom>
                  </pic:spPr>
                </pic:pic>
              </a:graphicData>
            </a:graphic>
          </wp:inline>
        </w:drawing>
      </w:r>
    </w:p>
    <w:p w14:paraId="68D686BF" w14:textId="77777777" w:rsidR="0087342B" w:rsidRDefault="00000000">
      <w:pPr>
        <w:spacing w:before="80" w:after="60"/>
        <w:ind w:left="220"/>
      </w:pPr>
      <w:r>
        <w:rPr>
          <w:b/>
          <w:bCs/>
          <w:color w:val="1E3A5F"/>
          <w:sz w:val="20"/>
          <w:szCs w:val="20"/>
        </w:rPr>
        <w:t xml:space="preserve">Figura 6.7. </w:t>
      </w:r>
      <w:r>
        <w:rPr>
          <w:i/>
          <w:iCs/>
          <w:sz w:val="20"/>
          <w:szCs w:val="20"/>
        </w:rPr>
        <w:t>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14:paraId="08FC2FEC" w14:textId="77777777" w:rsidR="0087342B" w:rsidRDefault="00000000">
      <w:pPr>
        <w:spacing w:after="220"/>
        <w:ind w:left="220"/>
      </w:pPr>
      <w:r>
        <w:rPr>
          <w:i/>
          <w:iCs/>
          <w:color w:val="444444"/>
          <w:sz w:val="18"/>
          <w:szCs w:val="18"/>
        </w:rPr>
        <w:t>Nota. Origen: NB06. n = 540 noches, 8 pacientes. Barras = media ± SD sobre los 8 folds LOPO-CV.</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6406884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F1A41DA" w14:textId="77777777" w:rsidR="0087342B" w:rsidRDefault="00000000">
      <w:pPr>
        <w:spacing w:before="120"/>
        <w:jc w:val="center"/>
      </w:pPr>
      <w:r>
        <w:rPr>
          <w:noProof/>
        </w:rPr>
        <w:lastRenderedPageBreak/>
        <w:drawing>
          <wp:inline distT="0" distB="0" distL="0" distR="0" wp14:anchorId="1DABCF4C" wp14:editId="633C5326">
            <wp:extent cx="5238750" cy="3019425"/>
            <wp:effectExtent l="0" t="0" r="0" b="0"/>
            <wp:docPr id="440286863" name="Diagrama conceptual ablacion importancia features PAC vs clinicas" descr="Diagrama conceptual ablacion importancia features PAC vs clinicas" title="Diagrama conceptual ablacion importancia features PAC vs clin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38750" cy="3019425"/>
                    </a:xfrm>
                    <a:prstGeom prst="rect">
                      <a:avLst/>
                    </a:prstGeom>
                  </pic:spPr>
                </pic:pic>
              </a:graphicData>
            </a:graphic>
          </wp:inline>
        </w:drawing>
      </w:r>
    </w:p>
    <w:p w14:paraId="0D5D2EDA" w14:textId="77777777" w:rsidR="0087342B" w:rsidRDefault="00000000">
      <w:pPr>
        <w:spacing w:before="80" w:after="60"/>
        <w:ind w:left="220"/>
      </w:pPr>
      <w:r>
        <w:rPr>
          <w:b/>
          <w:bCs/>
          <w:color w:val="1E3A5F"/>
          <w:sz w:val="20"/>
          <w:szCs w:val="20"/>
        </w:rPr>
        <w:t xml:space="preserve">Figura 6.8c. </w:t>
      </w:r>
      <w:r>
        <w:rPr>
          <w:i/>
          <w:iCs/>
          <w:sz w:val="20"/>
          <w:szCs w:val="20"/>
        </w:rPr>
        <w:t>Importancia predictiva por grupo de features: experimento de ablación (izquierda) y barra de contribución acumulada (derecha). Al eliminar PAC States, el rendimiento cae −44,8 %. Al eliminar ARI, la caída es de solo −3,4 %, consistente con su ortogonalidad respecto a la severidad clínica (ρ = 0,034). Las representaciones PAC suman el 79,7 % del peso predictivo total, aprendidas sin supervisión de etiquetas clínicas. El modelo "PAC only" supera al modelo clínico puro (0,521 vs. 0,354).</w:t>
      </w:r>
    </w:p>
    <w:p w14:paraId="4ADB0ED4" w14:textId="77777777" w:rsidR="0087342B" w:rsidRDefault="00000000">
      <w:pPr>
        <w:spacing w:after="220"/>
        <w:ind w:left="220"/>
      </w:pPr>
      <w:r>
        <w:rPr>
          <w:i/>
          <w:iCs/>
          <w:color w:val="444444"/>
          <w:sz w:val="18"/>
          <w:szCs w:val="18"/>
        </w:rPr>
        <w:t>Nota. Origen: NB06. 540 noches, 8 pacientes, LOPO-CV.</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8FA8074" w14:textId="77777777" w:rsidR="0087342B" w:rsidRDefault="00000000">
      <w:pPr>
        <w:spacing w:after="140" w:line="280" w:lineRule="auto"/>
        <w:jc w:val="both"/>
      </w:pPr>
      <w:r>
        <w:t>¿Por qué importa que PAC States dominen con 44,8 %? Porque estas representaciones fueron aprendidas de forma completamente no supervisada —sin ver nunca una etiqueta clínica de severidad—. El modelo fue entrenado únicamente con la geometría de las curvas SpO₂ y la dinámica temporal de los estados fisiológicos. Que una representación no supervisada capture más información predictiva sobre la gravedad clínica que las variables clínicas directas (IMC, edad, comorbilidades) valida el enfoque central de la tesis: la dinámica fisiológica nocturna contiene información diagnóstica que los índices escalares tradicionales no alcanzan a representar.</w:t>
      </w:r>
    </w:p>
    <w:p w14:paraId="0D1E9326" w14:textId="77777777" w:rsidR="0087342B" w:rsidRDefault="00000000">
      <w:pPr>
        <w:pStyle w:val="Ttulo2"/>
      </w:pPr>
      <w:r>
        <w:t>6.9  Modelo predictivo a nivel de evento  (NB07, Bloque B)</w:t>
      </w:r>
    </w:p>
    <w:p w14:paraId="68FFC456" w14:textId="77777777" w:rsidR="0087342B" w:rsidRDefault="00000000">
      <w:pPr>
        <w:spacing w:after="140" w:line="280" w:lineRule="auto"/>
        <w:jc w:val="both"/>
      </w:pPr>
      <w:r>
        <w:t xml:space="preserve">¿Qué problema clínico resuelve este modelo? La oximetría domiciliaria convencional es reactiva: registra cuántos eventos ocurrieron, pero no puede anticipar su trayectoria. Un paciente con ODI3 = 14 ev/h podría estar en una noche de carga creciente —con los próximos eventos progresivamente más severos— o en una noche estable. El modelo de evento (NB07 Bloque B) convierte el monitoreo de reactivo a prospectivo: dado el historial de los últimos 5 minutos de fisiología PAC, estima la probabilidad de que el siguiente evento sea morfológicamente severo. La mejora de 4,3× en Average Precision sobre el baseline no es solo una métrica: implica que, sobre cada 100 alertas generadas con </w:t>
      </w:r>
      <w:r>
        <w:lastRenderedPageBreak/>
        <w:t>umbral óptimo, el modelo acierta 4,3 veces más que un clasificador que simplemente usa la prevalencia de la clase positiva —y lo hace sin haber visto la noche completa—.</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00F116C1" w14:textId="77777777" w:rsidR="0087342B" w:rsidRDefault="00000000">
      <w:pPr>
        <w:spacing w:before="120"/>
        <w:jc w:val="center"/>
      </w:pPr>
      <w:r>
        <w:rPr>
          <w:noProof/>
        </w:rPr>
        <w:drawing>
          <wp:inline distT="0" distB="0" distL="0" distR="0" wp14:anchorId="1C4ED005" wp14:editId="168F02EC">
            <wp:extent cx="5238750" cy="2190750"/>
            <wp:effectExtent l="0" t="0" r="0" b="0"/>
            <wp:docPr id="1228807212" name="Heatmap probabilidad evento severo por estado M y morfotipo" descr="Heatmap probabilidad evento severo por estado M y morfotipo" title="Heatmap probabilidad evento severo por estado M y morf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38750" cy="2190750"/>
                    </a:xfrm>
                    <a:prstGeom prst="rect">
                      <a:avLst/>
                    </a:prstGeom>
                  </pic:spPr>
                </pic:pic>
              </a:graphicData>
            </a:graphic>
          </wp:inline>
        </w:drawing>
      </w:r>
    </w:p>
    <w:p w14:paraId="3C02AADA" w14:textId="77777777" w:rsidR="0087342B" w:rsidRDefault="00000000">
      <w:pPr>
        <w:spacing w:before="80" w:after="200"/>
      </w:pPr>
      <w:r>
        <w:rPr>
          <w:b/>
          <w:bCs/>
          <w:color w:val="444444"/>
          <w:sz w:val="18"/>
          <w:szCs w:val="18"/>
        </w:rPr>
        <w:t xml:space="preserve">Figura 6.9a. </w:t>
      </w:r>
      <w:r>
        <w:rPr>
          <w:color w:val="444444"/>
          <w:sz w:val="18"/>
          <w:szCs w:val="18"/>
        </w:rPr>
        <w:t>Probabilidad predicha de evento severo (C4/C5) según el estado PAC de escala M en la ventana de 5 min previa y el historial morfológico acumulado. Valores representativos del modelo LightGBM (NB07 Bloque B, LOPO-CV, n = 76.053 eventos). La combinación M1 × historial C4/C5 genera la probabilidad más alta (38,6 %), mientras que M0 o M2 con historial C1/C2 producen valores inferiores al 2 %. El estado PAC modula el riesgo de forma multiplicativa sobre el historial morfológico: el contexto dinámico amplifica o atenúa la señal de cada evento. P marginal de referencia = 5,97 %.</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267264428"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4F88E98F" w14:textId="77777777" w:rsidR="0087342B" w:rsidRDefault="00000000">
      <w:pPr>
        <w:spacing w:before="120"/>
        <w:jc w:val="center"/>
      </w:pPr>
      <w:r>
        <w:rPr>
          <w:noProof/>
        </w:rPr>
        <w:drawing>
          <wp:inline distT="0" distB="0" distL="0" distR="0" wp14:anchorId="2BDE530D" wp14:editId="0B24F716">
            <wp:extent cx="5238750" cy="3019425"/>
            <wp:effectExtent l="0" t="0" r="0" b="0"/>
            <wp:docPr id="1926100748" name="Diagrama conceptual modelo predictivo evento severo NB07 Bloque B" descr="Diagrama conceptual modelo predictivo evento severo NB07 Bloque B" title="Diagrama conceptual modelo predictivo evento severo NB07 Bloqu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38750" cy="3019425"/>
                    </a:xfrm>
                    <a:prstGeom prst="rect">
                      <a:avLst/>
                    </a:prstGeom>
                  </pic:spPr>
                </pic:pic>
              </a:graphicData>
            </a:graphic>
          </wp:inline>
        </w:drawing>
      </w:r>
    </w:p>
    <w:p w14:paraId="5274EF43" w14:textId="77777777" w:rsidR="0087342B" w:rsidRDefault="00000000">
      <w:pPr>
        <w:spacing w:before="80" w:after="60"/>
        <w:ind w:left="220"/>
      </w:pPr>
      <w:r>
        <w:rPr>
          <w:b/>
          <w:bCs/>
          <w:color w:val="1E3A5F"/>
          <w:sz w:val="20"/>
          <w:szCs w:val="20"/>
        </w:rPr>
        <w:t xml:space="preserve">Figura 6.9c. </w:t>
      </w:r>
      <w:r>
        <w:rPr>
          <w:i/>
          <w:iCs/>
          <w:sz w:val="20"/>
          <w:szCs w:val="20"/>
        </w:rPr>
        <w:t>Modelo de predicción de evento severo (NB07 Bloque B): lectura causal evento a evento. La probabilidad P(severo) se actualiza con cada nuevo evento usando solo el historial de los últimos 5 min. El mismo estado M1 genera P = 8 % al inicio de la noche y P = 38,6 % tras tres eventos C4/C5 previos. Las cinco features más importantes (gain LightGBM) reflejan el contexto acumulado: posición en la noche, morfología reciente, CI acumulado, estado S activo y trayectoria M reciente.</w:t>
      </w:r>
    </w:p>
    <w:p w14:paraId="6B0BAEC9"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r>
      <w:r>
        <w:lastRenderedPageBreak/>
        <w:t>recent_morph_mean (1.283), ci_so_far (1.169), state_s_enc (874) y frac_path_m_30ev (872). El riesgo de un evento severo se lee como acumulación progresiva de deterioro dentro de la noche: la historia importa tanto como el estado presente.</w:t>
      </w:r>
    </w:p>
    <w:p w14:paraId="5AC8023C" w14:textId="77777777" w:rsidR="0087342B" w:rsidRDefault="00000000">
      <w:pPr>
        <w:pStyle w:val="Ttulo2"/>
      </w:pPr>
      <w:r>
        <w:t>6.10  Modelo predictivo a nivel de noche  (NB07, Bloque C)</w:t>
      </w:r>
    </w:p>
    <w:p w14:paraId="460AA8CA" w14:textId="77777777" w:rsidR="0087342B" w:rsidRDefault="00000000">
      <w:pPr>
        <w:spacing w:after="140" w:line="280" w:lineRule="auto"/>
        <w:jc w:val="both"/>
      </w:pPr>
      <w:r>
        <w:t>¿Qué permite hacer este modelo que antes no era posible con oximetría portátil? Tres cosas concretas. Primero, fenotipado post-diagnóstico: dos pacientes con ODI3 idéntico pueden recibir Risk Score PAC muy distintos (Noche A = 18 vs. Noche B = 84 en la Figura 6.11a), lo que permite estratificar riesgo real más allá de la categoría AASM. Segundo, monitoreo longitudinal de respuesta a tratamiento: si un paciente inicia terapia posicional o CPAP, el modelo nocturno puede detectar cambios en la arquitectura dinámica noche a noche antes de que se reflejen en el ODI3. Tercero, detección de noches de riesgo oculto: el fenotipo de Carga Hipóxica Alta (§6.7) puede presentarse en pacientes clasificados como Moderado —y el modelo lo detecta con AUC = 0,874 y AP = 0,764 sobre baseline de 0,320—.</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540 noches con prevalencia de clase positiva del 32,0 % (173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0,874 y Average Precision = 0,764 (baseline = 0,320). El Random Forest obtuvo AUC = 0,815 y AP = 0,657.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0,874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0,764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0,320</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0,815</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0,320</w:t>
            </w:r>
          </w:p>
        </w:tc>
      </w:tr>
    </w:tbl>
    <w:p w14:paraId="1C2D4751" w14:textId="77777777" w:rsidR="0087342B" w:rsidRDefault="00000000">
      <w:pPr>
        <w:spacing w:after="220"/>
        <w:ind w:left="220"/>
      </w:pPr>
      <w:r>
        <w:rPr>
          <w:i/>
          <w:iCs/>
          <w:color w:val="444444"/>
          <w:sz w:val="18"/>
          <w:szCs w:val="18"/>
        </w:rPr>
        <w:t>Nota. Clasificación binaria: Normal+Leve vs. Moderado+Severo. n = 540 noches, 8 pacientes. Origen: NB07, Bloque C.</w:t>
      </w:r>
    </w:p>
    <w:p w14:paraId="1015B4A3" w14:textId="77777777" w:rsidR="0087342B" w:rsidRDefault="00000000">
      <w:pPr>
        <w:spacing w:before="120"/>
        <w:jc w:val="center"/>
      </w:pPr>
      <w:r>
        <w:rPr>
          <w:noProof/>
        </w:rPr>
        <w:lastRenderedPageBreak/>
        <w:drawing>
          <wp:inline distT="0" distB="0" distL="0" distR="0" wp14:anchorId="2427C6E8" wp14:editId="250689CD">
            <wp:extent cx="5238750" cy="2276475"/>
            <wp:effectExtent l="0" t="0" r="0" b="0"/>
            <wp:docPr id="1309691282" name="Panel dos noches contrastadas Risk Score PAC" descr="Panel dos noches contrastadas Risk Score PAC" title="Panel dos noches contrastadas Risk Score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38750" cy="2276475"/>
                    </a:xfrm>
                    <a:prstGeom prst="rect">
                      <a:avLst/>
                    </a:prstGeom>
                  </pic:spPr>
                </pic:pic>
              </a:graphicData>
            </a:graphic>
          </wp:inline>
        </w:drawing>
      </w:r>
    </w:p>
    <w:p w14:paraId="2BBF8C43" w14:textId="77777777" w:rsidR="0087342B" w:rsidRDefault="00000000">
      <w:pPr>
        <w:spacing w:before="80" w:after="200"/>
      </w:pPr>
      <w:r>
        <w:rPr>
          <w:b/>
          <w:bCs/>
          <w:color w:val="444444"/>
          <w:sz w:val="18"/>
          <w:szCs w:val="18"/>
        </w:rPr>
        <w:t xml:space="preserve">Figura 6.11a. </w:t>
      </w:r>
      <w:r>
        <w:rPr>
          <w:color w:val="444444"/>
          <w:sz w:val="18"/>
          <w:szCs w:val="18"/>
        </w:rPr>
        <w:t>Dos noches con ODI3 ≈ 14 ev/h (clasificación AASM idéntica: Moderado) y perfiles PAC opuestos. Noche A: dominancia de estados protectores M0/M2 (79 % del tiempo), fracción M1 = 2 %, ARI = 0,521, Risk Score PAC = 18/100. Noche B: dominancia de M1 (71 %), fracción M0 = 8 %, ARI = 0,284, Risk Score PAC = 84/100 — el fenotipo de Carga Hipóxica Alta descrito en §6.7. La arquitectura dinámica nocturna, invisible al ODI3, es la dimensión que el sistema PAC cuantifica y que el modelo nocturno (AUC = 0,874) aprende a separar.</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6301827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6.11. </w:t>
      </w:r>
      <w:r>
        <w:rPr>
          <w:i/>
          <w:iCs/>
          <w:sz w:val="20"/>
          <w:szCs w:val="20"/>
        </w:rPr>
        <w:t>Curvas ROC y Precision-Recall para la clasificación nocturna binaria (LOPO-CV, NB07 Bloque C). Logística (azul): AUC = 0,874, AP = 0,764. Random Forest (rojo): AUC = 0,815, AP = 0,657. Baseline AP = 0,320 (prevalencia de clase positiva).</w:t>
      </w:r>
    </w:p>
    <w:p w14:paraId="4793BF89" w14:textId="77777777" w:rsidR="0087342B" w:rsidRDefault="00000000">
      <w:pPr>
        <w:spacing w:after="220"/>
        <w:ind w:left="220"/>
      </w:pPr>
      <w:r>
        <w:rPr>
          <w:i/>
          <w:iCs/>
          <w:color w:val="444444"/>
          <w:sz w:val="18"/>
          <w:szCs w:val="18"/>
        </w:rPr>
        <w:t>Nota. Origen: NB07, Bloque C. n = 540 noches, 8 pacientes.</w:t>
      </w:r>
    </w:p>
    <w:p w14:paraId="0A27D279" w14:textId="77777777" w:rsidR="0087342B" w:rsidRDefault="00000000">
      <w:pPr>
        <w:spacing w:before="120"/>
        <w:jc w:val="center"/>
      </w:pPr>
      <w:r>
        <w:rPr>
          <w:noProof/>
        </w:rPr>
        <w:lastRenderedPageBreak/>
        <w:drawing>
          <wp:inline distT="0" distB="0" distL="0" distR="0" wp14:anchorId="381579EC" wp14:editId="2AF31892">
            <wp:extent cx="5238750" cy="3019425"/>
            <wp:effectExtent l="0" t="0" r="0" b="0"/>
            <wp:docPr id="964442977" name="Diagrama conceptual modelo predictivo nocturno binario NB07 Bloque C" descr="Diagrama conceptual modelo predictivo nocturno binario NB07 Bloque C" title="Diagrama conceptual modelo predictivo nocturno binario NB07 Bloqu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38750" cy="3019425"/>
                    </a:xfrm>
                    <a:prstGeom prst="rect">
                      <a:avLst/>
                    </a:prstGeom>
                  </pic:spPr>
                </pic:pic>
              </a:graphicData>
            </a:graphic>
          </wp:inline>
        </w:drawing>
      </w:r>
    </w:p>
    <w:p w14:paraId="34C22E6B" w14:textId="77777777" w:rsidR="0087342B" w:rsidRDefault="00000000">
      <w:pPr>
        <w:spacing w:before="80" w:after="60"/>
        <w:ind w:left="220"/>
      </w:pPr>
      <w:r>
        <w:rPr>
          <w:b/>
          <w:bCs/>
          <w:color w:val="1E3A5F"/>
          <w:sz w:val="20"/>
          <w:szCs w:val="20"/>
        </w:rPr>
        <w:t xml:space="preserve">Figura 6.11c. </w:t>
      </w:r>
      <w:r>
        <w:rPr>
          <w:i/>
          <w:iCs/>
          <w:sz w:val="20"/>
          <w:szCs w:val="20"/>
        </w:rPr>
        <w:t>Modelo predictivo nocturno (NB07 Bloque C): la noche completa resumida en un vector de features PAC. Dos noches con ODI3 idéntico (14 ev/h) producen vectores opuestos (frac_M0 = 0,79 vs. 0,08; frac_M1 = 0,02 vs. 0,71) y clasificaciones distintas (Normal/Leve, Score=18 vs. Moderado/Severo, Score=84). Las cuatro fracciones de estados M explican el 69,4 % de la importancia predictiva total.</w:t>
      </w:r>
    </w:p>
    <w:p w14:paraId="187B9D22" w14:textId="77777777" w:rsidR="0087342B" w:rsidRDefault="00000000">
      <w:pPr>
        <w:spacing w:after="220"/>
        <w:ind w:left="220"/>
      </w:pPr>
      <w:r>
        <w:rPr>
          <w:i/>
          <w:iCs/>
          <w:color w:val="444444"/>
          <w:sz w:val="18"/>
          <w:szCs w:val="18"/>
        </w:rPr>
        <w:t>Nota. Origen: NB07 Bloque C. n = 540 noches, 8 pacientes. Regresión logística LOPO-CV.</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0,874.</w:t>
      </w:r>
    </w:p>
    <w:p w14:paraId="36A23953" w14:textId="77777777" w:rsidR="0087342B" w:rsidRDefault="00000000">
      <w:pPr>
        <w:pStyle w:val="Ttulo2"/>
      </w:pPr>
      <w:r>
        <w:t>6.11  Interpretabilidad del modelo nocturno</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6.12  Risk Score PAC: integración evento–noche  (NB07, Bloque D)</w:t>
      </w:r>
    </w:p>
    <w:p w14:paraId="7D3368F9" w14:textId="77777777" w:rsidR="0087342B" w:rsidRDefault="00000000">
      <w:pPr>
        <w:spacing w:after="140" w:line="280" w:lineRule="auto"/>
        <w:jc w:val="both"/>
      </w:pPr>
      <w:r>
        <w:t xml:space="preserve">¿Por qué integrar en un número único? Porque la usabilidad clínica requiere simplicidad interpretativa. Un clínico que recibe el reporte de una noche no lee una curva ROC: necesita saber si esa noche fue fisiológicamente comprometida o no. El Risk Score PAC (0–100) cumple tres funciones que los indicadores por separado no pueden cumplir individualmente. Primero, comparabilidad entre noches del mismo paciente: un score de 18 frente a 84 en noches con ODI3 idéntico señala una diferencia fisiológica real que el </w:t>
      </w:r>
      <w:r>
        <w:lastRenderedPageBreak/>
        <w:t>ODI3 no captura. Segundo, comparabilidad entre pacientes: la normalización a escala 0–100 permite ubicar a cualquier paciente dentro de la distribución del corpus. Tercero, umbral operacional: un score ≥ 60 detecta el 100 % de las noches Severas del corpus, con especificidad razonable, sin necesidad de que el clínico interprete una probabilidad continua.</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0,874</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naturaleza global —condensa la arquitectura completa de la noche— y su menor sensibilidad al ruido de señal en ventanas individuales. La elección 40/60 no fue sometida a análisis de sensibilidad formal; este aspecto está reconocido como limitación en §6.15.</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48766157"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6.13.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540 noches. El 100 % de las Severas superan el umbral 60; el 77,6 % de las Moderadas; el 9,4 % de las Leves; el 0 % de las Normales.</w:t>
      </w:r>
    </w:p>
    <w:p w14:paraId="2C89AB07" w14:textId="77777777" w:rsidR="0087342B" w:rsidRDefault="00000000">
      <w:pPr>
        <w:spacing w:before="120"/>
        <w:jc w:val="center"/>
      </w:pPr>
      <w:r>
        <w:rPr>
          <w:noProof/>
        </w:rPr>
        <w:drawing>
          <wp:inline distT="0" distB="0" distL="0" distR="0" wp14:anchorId="58514C55" wp14:editId="41EA3830">
            <wp:extent cx="5238750" cy="2009775"/>
            <wp:effectExtent l="0" t="0" r="0" b="0"/>
            <wp:docPr id="1072944584"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238750" cy="2009775"/>
                    </a:xfrm>
                    <a:prstGeom prst="rect">
                      <a:avLst/>
                    </a:prstGeom>
                  </pic:spPr>
                </pic:pic>
              </a:graphicData>
            </a:graphic>
          </wp:inline>
        </w:drawing>
      </w:r>
    </w:p>
    <w:p w14:paraId="3872E64A" w14:textId="77777777" w:rsidR="0087342B" w:rsidRDefault="00000000">
      <w:pPr>
        <w:spacing w:before="80" w:after="60"/>
        <w:ind w:left="220"/>
      </w:pPr>
      <w:r>
        <w:rPr>
          <w:b/>
          <w:bCs/>
          <w:color w:val="1E3A5F"/>
          <w:sz w:val="20"/>
          <w:szCs w:val="20"/>
        </w:rPr>
        <w:t xml:space="preserve">Figura 6.14. </w:t>
      </w:r>
      <w:r>
        <w:rPr>
          <w:i/>
          <w:iCs/>
          <w:sz w:val="20"/>
          <w:szCs w:val="20"/>
        </w:rPr>
        <w:t>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14:paraId="2AF967F2" w14:textId="77777777" w:rsidR="0087342B" w:rsidRDefault="00000000">
      <w:pPr>
        <w:spacing w:after="220"/>
        <w:ind w:left="220"/>
      </w:pPr>
      <w:r>
        <w:rPr>
          <w:i/>
          <w:iCs/>
          <w:color w:val="444444"/>
          <w:sz w:val="18"/>
          <w:szCs w:val="18"/>
        </w:rPr>
        <w:t>Nota. Origen: NB07, Bloque D. n = 540 noches.</w:t>
      </w:r>
    </w:p>
    <w:p w14:paraId="3D157832" w14:textId="77777777" w:rsidR="0087342B" w:rsidRDefault="00000000">
      <w:pPr>
        <w:spacing w:before="120"/>
        <w:jc w:val="center"/>
      </w:pPr>
      <w:r>
        <w:rPr>
          <w:noProof/>
        </w:rPr>
        <w:drawing>
          <wp:inline distT="0" distB="0" distL="0" distR="0" wp14:anchorId="517A6513" wp14:editId="5F84695C">
            <wp:extent cx="5238750" cy="3019425"/>
            <wp:effectExtent l="0" t="0" r="0" b="0"/>
            <wp:docPr id="1170233807" name="Diagrama conceptual Risk Score PAC integracion evento noche escala 0-100" descr="Diagrama conceptual Risk Score PAC integracion evento noche escala 0-100" title="Diagrama conceptual Risk Score PAC integracion evento noche escala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238750" cy="3019425"/>
                    </a:xfrm>
                    <a:prstGeom prst="rect">
                      <a:avLst/>
                    </a:prstGeom>
                  </pic:spPr>
                </pic:pic>
              </a:graphicData>
            </a:graphic>
          </wp:inline>
        </w:drawing>
      </w:r>
    </w:p>
    <w:p w14:paraId="7BB0E25D" w14:textId="77777777" w:rsidR="0087342B" w:rsidRDefault="00000000">
      <w:pPr>
        <w:spacing w:before="80" w:after="60"/>
        <w:ind w:left="220"/>
      </w:pPr>
      <w:r>
        <w:rPr>
          <w:b/>
          <w:bCs/>
          <w:color w:val="1E3A5F"/>
          <w:sz w:val="20"/>
          <w:szCs w:val="20"/>
        </w:rPr>
        <w:t xml:space="preserve">Figura 6.12c. </w:t>
      </w:r>
      <w:r>
        <w:rPr>
          <w:i/>
          <w:iCs/>
          <w:sz w:val="20"/>
          <w:szCs w:val="20"/>
        </w:rPr>
        <w:t>Risk Score PAC: integración de componente evento (40 %, LightGBM) y componente nocturno (60 %, regresión logística) en una escala 0–100. El gradiente por categoría AASM muestra el salto de +43 puntos entre Leve (29,4) y Moderado (72,9). El umbral operacional ≥ 60 detecta el 100 % de las noches Severas sin necesidad de interpretar probabilidades continuas.</w:t>
      </w:r>
    </w:p>
    <w:p w14:paraId="4BE8FF92" w14:textId="77777777" w:rsidR="0087342B" w:rsidRDefault="00000000">
      <w:pPr>
        <w:spacing w:after="220"/>
        <w:ind w:left="220"/>
      </w:pPr>
      <w:r>
        <w:rPr>
          <w:i/>
          <w:iCs/>
          <w:color w:val="444444"/>
          <w:sz w:val="18"/>
          <w:szCs w:val="18"/>
        </w:rPr>
        <w:t>Nota. Origen: NB07 Bloque D. Gradiente calculado sobre 540 noches, 8 pacientes.</w:t>
      </w:r>
    </w:p>
    <w:p w14:paraId="44A1728F" w14:textId="77777777" w:rsidR="0087342B" w:rsidRDefault="00000000">
      <w:pPr>
        <w:pStyle w:val="Ttulo2"/>
      </w:pPr>
      <w:r>
        <w:t>6.13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r>
      <w:r>
        <w:lastRenderedPageBreak/>
        <w:t>patológicos, con qué frecuencia el organismo se recupera de ellos, qué trayectoria sigue la noche y qué nivel de vulnerabilidad fisiológica acumulada puede estimarse una vez completada.</w:t>
      </w:r>
    </w:p>
    <w:p w14:paraId="2E9F895C" w14:textId="77777777" w:rsidR="0087342B" w:rsidRDefault="00000000">
      <w:pPr>
        <w:spacing w:after="140" w:line="280" w:lineRule="auto"/>
        <w:jc w:val="both"/>
      </w:pPr>
      <w:r>
        <w:t>En términos traslacionales, los dos módulos predictivos tienen utilidades distintas y complementarias. El módulo de evento (AUC = 0,878) utiliza una ventana de contexto causal de ≈5 min (equivalente a la escala M del sistema PAC): las features se calculan a partir de señales y estados previos al evento, sin incorporar información posterior. Esto lo hace aplicable en configuraciones de análisis continuo nocturno, aunque su naturaleza es retrospectiva respecto al evento clasificado — no predice la ocurrencia futura de un EDO. La extensión al dominio prospectivo genuino, con predicción de eventos antes de que ocurran y margen temporal para intervención terapéutica, se desarrolla en el Capítulo 8. El módulo nocturno (AUC = 0,874)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14:paraId="396550F6" w14:textId="77777777" w:rsidR="0087342B" w:rsidRDefault="00000000">
      <w:pPr>
        <w:pStyle w:val="Ttulo2"/>
      </w:pPr>
      <w:r>
        <w:t>6.14  Relación con los capítulos previos</w:t>
      </w:r>
    </w:p>
    <w:p w14:paraId="7EDFB7BB" w14:textId="77777777" w:rsidR="0087342B" w:rsidRDefault="00000000">
      <w:pPr>
        <w:spacing w:after="140" w:line="280" w:lineRule="auto"/>
        <w:jc w:val="both"/>
      </w:pPr>
      <w:r>
        <w:t>El Capítulo 6 funciona como síntesis predictiva de los dos capítulos analíticos precedentes. El Capítulo 4 demostró que los EDOs presentan morfologías distintas (C1–C5): los morfotipos severos (C4, C5) concentran mayor profundidad de caída y mayor carga hipóxica, mientras que el ARI reveló un gradiente autonómico inverso —C5 presentó la respuesta autonómica más baja del corpus (ARI = 0,423), sugiriendo una posible atenuación de la reactividad cardíaca en los eventos más graves—.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14:paraId="679878AB" w14:textId="77777777" w:rsidR="0087342B" w:rsidRDefault="00000000">
      <w:pPr>
        <w:spacing w:after="140" w:line="280" w:lineRule="auto"/>
        <w:jc w:val="both"/>
      </w:pPr>
      <w:r>
        <w:t>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14:paraId="5F5A1C00" w14:textId="77777777" w:rsidR="0087342B" w:rsidRDefault="00000000">
      <w:pPr>
        <w:pStyle w:val="Ttulo2"/>
      </w:pPr>
      <w:r>
        <w:t>6.15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r>
      <w:r>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7807ADFA" w14:textId="77777777" w:rsidR="0087342B" w:rsidRDefault="00000000">
      <w:pPr>
        <w:pStyle w:val="Ttulo2"/>
      </w:pPr>
      <w:r>
        <w:t>6.16  Conclusión</w:t>
      </w:r>
    </w:p>
    <w:p w14:paraId="59AA4335" w14:textId="77777777" w:rsidR="0087342B" w:rsidRDefault="00000000">
      <w:pPr>
        <w:spacing w:after="140" w:line="280" w:lineRule="auto"/>
        <w:jc w:val="both"/>
      </w:pPr>
      <w:r>
        <w:t>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4,70 la probabilidad de observar un evento severo; M1 por 3,29; L0 por 1,98.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14:paraId="73E13DF7" w14:textId="77777777" w:rsidR="0087342B" w:rsidRDefault="00000000">
      <w:pPr>
        <w:spacing w:after="140" w:line="280" w:lineRule="auto"/>
        <w:jc w:val="both"/>
      </w:pPr>
      <w:r>
        <w:t>Los modelos predictivos cuantifican el valor de las representaciones PAC. La clasificación de riesgo nocturno binario alcanza AUC = 0,874 (AP = 0,764 frente a baseline 0,320),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r>
      <w:r>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p w14:paraId="2DFDE90C" w14:textId="77777777" w:rsidR="0087342B" w:rsidRDefault="00000000">
      <w:pPr>
        <w:pStyle w:val="Ttulo2"/>
      </w:pPr>
      <w:r>
        <w:t>Referencias</w:t>
      </w:r>
    </w:p>
    <w:p w14:paraId="00E23181" w14:textId="77777777" w:rsidR="0087342B" w:rsidRDefault="00000000">
      <w:pPr>
        <w:spacing w:after="140" w:line="280" w:lineRule="auto"/>
        <w:jc w:val="both"/>
      </w:pPr>
      <w: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0091C190" w14:textId="77777777" w:rsidR="0087342B" w:rsidRDefault="00000000">
      <w:pPr>
        <w:spacing w:after="140" w:line="280" w:lineRule="auto"/>
        <w:jc w:val="both"/>
      </w:pPr>
      <w:r>
        <w:t>Berry, R. B., Budhiraja, R., Gottlieb, D. J., Gozal, D., Iber, C., Kapur, V. K., ... &amp; Tangredi, M. M. (2012). Rules for scoring respiratory events in sleep: update of the 2007 AASM Manual for Scoring of Sleep. Journal of Clinical Sleep Medicine, 8(5), 597–619. https://doi.org/10.5664/jcsm.2172</w:t>
      </w:r>
    </w:p>
    <w:p w14:paraId="72BB5E6B" w14:textId="77777777" w:rsidR="0087342B" w:rsidRDefault="00000000">
      <w:pPr>
        <w:spacing w:after="140" w:line="280" w:lineRule="auto"/>
        <w:jc w:val="both"/>
      </w:pPr>
      <w:r>
        <w:t>Inza, R., et al. (en preparación). Fenotipado morfológico y respuesta autonómica en eventos de desaturación nocturna: el Índice de Reactividad Autonómica (ARI). [T1]</w:t>
      </w:r>
    </w:p>
    <w:p w14:paraId="1922218D" w14:textId="77777777" w:rsidR="0087342B" w:rsidRDefault="00000000">
      <w:pPr>
        <w:spacing w:after="140" w:line="280" w:lineRule="auto"/>
        <w:jc w:val="both"/>
      </w:pPr>
      <w:r>
        <w:t>Inza, R., et al. (en preparación). Estados dinámicos multiescala de la fisiología respiratoria nocturna: morfotipos, carga hipóxica y reactividad autonómica. [T2]</w:t>
      </w:r>
    </w:p>
    <w:p w14:paraId="4D6DCDF4" w14:textId="77777777" w:rsidR="0087342B" w:rsidRDefault="00000000">
      <w:pPr>
        <w:spacing w:after="140" w:line="280" w:lineRule="auto"/>
        <w:jc w:val="both"/>
      </w:pPr>
      <w:r>
        <w:t>Inza, R., et al. (en preparación). Acoplamiento evento–estado, trayectorias nocturnas y predicción de severidad en SAOS: el sistema PAC. [T3]</w:t>
      </w:r>
    </w:p>
    <w:p w14:paraId="0882D82B" w14:textId="77777777" w:rsidR="0087342B" w:rsidRDefault="00000000">
      <w:pPr>
        <w:spacing w:after="140" w:line="280" w:lineRule="auto"/>
        <w:jc w:val="both"/>
      </w:pPr>
      <w:r>
        <w:t>Landis, J. R., &amp; Koch, G. G. (1977). The measurement of observer agreement for categorical data. Biometrics, 33(1), 159–174. https://doi.org/10.2307/2529310</w:t>
      </w:r>
    </w:p>
    <w:p w14:paraId="1EABAAE3" w14:textId="77777777" w:rsidR="0087342B" w:rsidRDefault="00000000">
      <w:pPr>
        <w:spacing w:after="140" w:line="280" w:lineRule="auto"/>
        <w:jc w:val="both"/>
      </w:pPr>
      <w:r>
        <w:t>Lévy, P., Kohler, M., McNicholas, W. T., Barbé, F., McEvoy, R. D., Somers, V. K., ... &amp; Pépin, J.-L. (2015). Obstructive sleep apnoea syndrome. Nature Reviews Disease Primers, 1, 15015. https://doi.org/10.1038/nrdp.2015.15</w:t>
      </w:r>
    </w:p>
    <w:p w14:paraId="3AC781F5" w14:textId="77777777" w:rsidR="0087342B" w:rsidRDefault="00000000">
      <w:pPr>
        <w:spacing w:after="140" w:line="280" w:lineRule="auto"/>
        <w:jc w:val="both"/>
      </w:pPr>
      <w:r>
        <w:t>Wasserstein, R. L., &amp; Lazar, N. A. (2016). The ASA statement on p-values: context, process, and purpose. The American Statistician, 70(2), 129–133. https://doi.org/10.1080/00031305.2016.1154108</w:t>
      </w:r>
    </w:p>
    <w:sectPr w:rsidR="0087342B">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2161" w14:textId="77777777" w:rsidR="000D6075" w:rsidRDefault="000D6075">
      <w:r>
        <w:separator/>
      </w:r>
    </w:p>
  </w:endnote>
  <w:endnote w:type="continuationSeparator" w:id="0">
    <w:p w14:paraId="598670BC" w14:textId="77777777" w:rsidR="000D6075" w:rsidRDefault="000D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220F" w14:textId="77777777" w:rsidR="0087342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660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3120" w14:textId="77777777" w:rsidR="000D6075" w:rsidRDefault="000D6075">
      <w:r>
        <w:separator/>
      </w:r>
    </w:p>
  </w:footnote>
  <w:footnote w:type="continuationSeparator" w:id="0">
    <w:p w14:paraId="49145B90" w14:textId="77777777" w:rsidR="000D6075" w:rsidRDefault="000D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DD82" w14:textId="77777777" w:rsidR="0087342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2BB"/>
    <w:multiLevelType w:val="hybridMultilevel"/>
    <w:tmpl w:val="AC781FF8"/>
    <w:lvl w:ilvl="0" w:tplc="B24E0E34">
      <w:start w:val="1"/>
      <w:numFmt w:val="bullet"/>
      <w:lvlText w:val="●"/>
      <w:lvlJc w:val="left"/>
      <w:pPr>
        <w:ind w:left="720" w:hanging="360"/>
      </w:pPr>
    </w:lvl>
    <w:lvl w:ilvl="1" w:tplc="56F41FB4">
      <w:start w:val="1"/>
      <w:numFmt w:val="bullet"/>
      <w:lvlText w:val="○"/>
      <w:lvlJc w:val="left"/>
      <w:pPr>
        <w:ind w:left="1440" w:hanging="360"/>
      </w:pPr>
    </w:lvl>
    <w:lvl w:ilvl="2" w:tplc="7E96BE02">
      <w:start w:val="1"/>
      <w:numFmt w:val="bullet"/>
      <w:lvlText w:val="■"/>
      <w:lvlJc w:val="left"/>
      <w:pPr>
        <w:ind w:left="2160" w:hanging="360"/>
      </w:pPr>
    </w:lvl>
    <w:lvl w:ilvl="3" w:tplc="C578433A">
      <w:start w:val="1"/>
      <w:numFmt w:val="bullet"/>
      <w:lvlText w:val="●"/>
      <w:lvlJc w:val="left"/>
      <w:pPr>
        <w:ind w:left="2880" w:hanging="360"/>
      </w:pPr>
    </w:lvl>
    <w:lvl w:ilvl="4" w:tplc="84CE7818">
      <w:start w:val="1"/>
      <w:numFmt w:val="bullet"/>
      <w:lvlText w:val="○"/>
      <w:lvlJc w:val="left"/>
      <w:pPr>
        <w:ind w:left="3600" w:hanging="360"/>
      </w:pPr>
    </w:lvl>
    <w:lvl w:ilvl="5" w:tplc="8E38A4AE">
      <w:start w:val="1"/>
      <w:numFmt w:val="bullet"/>
      <w:lvlText w:val="■"/>
      <w:lvlJc w:val="left"/>
      <w:pPr>
        <w:ind w:left="4320" w:hanging="360"/>
      </w:pPr>
    </w:lvl>
    <w:lvl w:ilvl="6" w:tplc="11621916">
      <w:start w:val="1"/>
      <w:numFmt w:val="bullet"/>
      <w:lvlText w:val="●"/>
      <w:lvlJc w:val="left"/>
      <w:pPr>
        <w:ind w:left="5040" w:hanging="360"/>
      </w:pPr>
    </w:lvl>
    <w:lvl w:ilvl="7" w:tplc="B0D21CA8">
      <w:start w:val="1"/>
      <w:numFmt w:val="bullet"/>
      <w:lvlText w:val="●"/>
      <w:lvlJc w:val="left"/>
      <w:pPr>
        <w:ind w:left="5760" w:hanging="360"/>
      </w:pPr>
    </w:lvl>
    <w:lvl w:ilvl="8" w:tplc="B142A520">
      <w:start w:val="1"/>
      <w:numFmt w:val="bullet"/>
      <w:lvlText w:val="●"/>
      <w:lvlJc w:val="left"/>
      <w:pPr>
        <w:ind w:left="6480" w:hanging="360"/>
      </w:pPr>
    </w:lvl>
  </w:abstractNum>
  <w:num w:numId="1" w16cid:durableId="10750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2B"/>
    <w:rsid w:val="000B4FE3"/>
    <w:rsid w:val="000D6075"/>
    <w:rsid w:val="0087342B"/>
    <w:rsid w:val="00A660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5D10B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7788</Words>
  <Characters>41983</Characters>
  <Application>Microsoft Office Word</Application>
  <DocSecurity>0</DocSecurity>
  <Lines>912</Lines>
  <Paragraphs>444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2026-05-27T17:38:00Z</dcterms:created>
  <dcterms:modified xsi:type="dcterms:W3CDTF">2026-05-27T17:49:00Z</dcterms:modified>
</cp:coreProperties>
</file>