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17  ·  Mayo 2026</w:t>
      </w:r>
    </w:p>
    <w:p w14:paraId="44239F02" w14:textId="77777777" w:rsidR="0087342B" w:rsidRDefault="00000000">
      <w:pPr>
        <w:pStyle w:val="Ttulo2"/>
      </w:pPr>
      <w:r>
        <w:t>6.1  Contexto, corpus y diseño analítico</w:t>
      </w:r>
    </w:p>
    <w:p>
      <w:pPr>
        <w:spacing w:after="140" w:line="280" w:lineRule="auto"/>
        <w:jc w:val="both"/>
      </w:pPr>
      <w:r>
        <w:rPr>
          <w:sz w:val="20"/>
          <w:szCs w:val="20"/>
        </w:rPr>
        <w:t xml:space="preserve">Este capítulo construye, sobre las representaciones PAC desarrolladas en Cap04 y Cap05, el arco predictivo del proyecto: desde la cuantificación del acoplamiento entre morfotipos y estados dinámicos hasta la integración de los modelos en un índice de riesgo fisiológico nocturno (Risk Score PAC, 0–100). El análisis se organiza en tres bloques: acoplamiento y dinámica nocturna (§6.2–6.6), modelos predictivos validados por LOPO-CV (§6.7–6.10), y síntesis en el Risk Score PAC (§6.11–6.12).</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(83.892 eventos con morfotipo y estado asignado, 560 noches). El modelo nocturno opera sobre las 540 noches de la cohorte estricta.</w:t>
      </w:r>
    </w:p>
    <w:p w14:paraId="727E560E" w14:textId="77777777" w:rsidR="0087342B" w:rsidRDefault="00000000">
      <w:pPr>
        <w:pStyle w:val="Ttulo2"/>
      </w:pPr>
      <w:r>
        <w:t>6.2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pPr>
        <w:spacing w:after="100" w:line="280" w:lineRule="auto"/>
        <w:jc w:val="both"/>
      </w:pPr>
      <w:r>
        <w:rPr>
          <w:i/>
          <w:iCs/>
          <w:color w:val="6B7280"/>
          <w:sz w:val="18"/>
          <w:szCs w:val="18"/>
        </w:rPr>
        <w:t xml:space="preserve">▸ Figuras complementarias disponibles en Anexo Figuras: Fig. 6.1 (distribución condicional P(morfotipo|estado)), Fig. 6.2 (riesgo relativo por estado), Fig. 6.2c (acoplamiento escala M).</w:t>
      </w:r>
    </w:p>
    <w:p w14:paraId="0DF17B6B" w14:textId="77777777" w:rsidR="0087342B" w:rsidRDefault="00000000">
      <w:pPr>
        <w:pStyle w:val="Ttulo2"/>
      </w:pPr>
      <w:r>
        <w:t>6.3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pPr>
        <w:spacing w:after="100" w:line="280" w:lineRule="auto"/>
        <w:jc w:val="both"/>
      </w:pPr>
      <w:r>
        <w:rPr>
          <w:i/>
          <w:iCs/>
          <w:color w:val="6B7280"/>
          <w:sz w:val="18"/>
          <w:szCs w:val="18"/>
        </w:rPr>
        <w:t xml:space="preserve">▸ Figuras complementarias en Anexo Figuras: Fig. 6.3 (coupling index por escala), Fig. 6.4c (dos noches con ODI3 idéntico y CI opuesto).</w:t>
      </w:r>
    </w:p>
    <w:p w14:paraId="153E59A0" w14:textId="77777777" w:rsidR="0087342B" w:rsidRDefault="00000000">
      <w:pPr>
        <w:pStyle w:val="Ttulo2"/>
      </w:pPr>
      <w:r>
        <w:lastRenderedPageBreak/>
        <w:t>6.4  Dinámica temporal peri-evento y resiliencia fisiológica  (NB05, Sección 4)</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pPr>
        <w:spacing w:after="100" w:line="280" w:lineRule="auto"/>
        <w:jc w:val="both"/>
      </w:pPr>
      <w:r>
        <w:rPr>
          <w:i/>
          <w:iCs/>
          <w:color w:val="6B7280"/>
          <w:sz w:val="18"/>
          <w:szCs w:val="18"/>
        </w:rPr>
        <w:t xml:space="preserve">▸ Figuras complementarias en Anexo Figuras: Fig. 6.4 (resiliencia por escala temporal), Fig. 6.5c (dinámica peri-evento).</w:t>
      </w:r>
    </w:p>
    <w:p w14:paraId="6C900222" w14:textId="77777777" w:rsidR="0087342B" w:rsidRDefault="00000000">
      <w:pPr>
        <w:pStyle w:val="Ttulo2"/>
      </w:pPr>
      <w:r>
        <w:t>6.5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100" w:line="280" w:lineRule="auto"/>
        <w:jc w:val="both"/>
      </w:pPr>
      <w:r>
        <w:rPr>
          <w:i/>
          <w:iCs/>
          <w:color w:val="6B7280"/>
          <w:sz w:val="18"/>
          <w:szCs w:val="18"/>
        </w:rPr>
        <w:t xml:space="preserve">▸ Figuras complementarias en Anexo Figuras: Fig. 6.5 (matrices de transición), Fig. 6.6c (red de transiciones Markovianas escala M).</w:t>
      </w:r>
    </w:p>
    <w:p w14:paraId="0B005EFC" w14:textId="77777777" w:rsidR="0087342B" w:rsidRDefault="00000000">
      <w:pPr>
        <w:pStyle w:val="Ttulo2"/>
      </w:pPr>
      <w:r>
        <w:t>6.6  Trayectorias nocturnas: fenotipos dinámicos globales  (NB05, Sección 6)</w:t>
      </w:r>
    </w:p>
    <w:p>
      <w:pPr>
        <w:spacing w:after="140" w:line="280" w:lineRule="auto"/>
        <w:jc w:val="both"/>
      </w:pPr>
      <w:r>
        <w:rPr>
          <w:sz w:val="20"/>
          <w:szCs w:val="20"/>
        </w:rPr>
        <w:t xml:space="preserve">NB05 (Sección 6) identifica tres fenotipos de trayectoria nocturna mediante K-means (K = 3) sobre un vector de 7 features multiescala. La Tabla 6.5 presenta los perfiles resultantes y el hallazgo central: el fenotipo Carga Hipóxica Alta (CHA) aparece exclusivamente en pacientes con severidad AASM Moderada, evidenciando discordancia entre índice de frecuencia y fenotipo dinámico.</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511 noches, 8 pacientes. Origen: NB05, Sección 6.</w:t>
      </w:r>
    </w:p>
    <w:p w14:paraId="769C1929" w14:textId="77777777" w:rsidR="0087342B" w:rsidRDefault="00000000">
      <w:pPr>
        <w:pStyle w:val="Ttulo2"/>
      </w:pPr>
      <w:r>
        <w:t>6.7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D1E9326" w14:textId="77777777" w:rsidR="0087342B" w:rsidRDefault="00000000">
      <w:pPr>
        <w:pStyle w:val="Ttulo2"/>
      </w:pPr>
      <w:r>
        <w:t>6.8  Modelo predictivo a nivel de evento  (NB07, Bloque B)</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r>
      <w:r>
        <w:lastRenderedPageBreak/>
        <w:t>recent_morph_mean (1.283), ci_so_far (1.169), state_s_enc (874) y frac_path_m_30ev (872). El riesgo de un evento severo se lee como acumulación progresiva de deterioro dentro de la noche: la historia importa tanto como el estado presente.</w:t>
      </w:r>
    </w:p>
    <w:p w14:paraId="5AC8023C" w14:textId="77777777" w:rsidR="0087342B" w:rsidRDefault="00000000">
      <w:pPr>
        <w:pStyle w:val="Ttulo2"/>
      </w:pPr>
      <w:r>
        <w:t>6.9  Modelo predictivo a nivel de noche  (NB07, Bloque C)</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0,657.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0,874, AP = 0,764. Random Forest (rojo): AUC = 0,815, AP = 0,657.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6.10  Risk Score PAC: integración evento–noche  (NB07, Bloque D)</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§6.12.</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44A1728F" w14:textId="77777777" w:rsidR="0087342B" w:rsidRDefault="00000000">
      <w:pPr>
        <w:pStyle w:val="Ttulo2"/>
      </w:pPr>
      <w:r>
        <w:t>6.11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r>
      <w:r>
        <w:lastRenderedPageBreak/>
        <w:t>patológicos, con qué frecuencia el organismo se recupera de ellos, qué trayectoria sigue la noche y qué nivel de vulnerabilidad fisiológica acumulada puede estimarse una vez completada.</w:t>
      </w:r>
    </w:p>
    <w:p w14:paraId="5F5A1C00" w14:textId="77777777" w:rsidR="0087342B" w:rsidRDefault="00000000">
      <w:pPr>
        <w:pStyle w:val="Ttulo2"/>
      </w:pPr>
      <w:r>
        <w:t>6.12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r>
      <w:r>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7807ADFA" w14:textId="77777777" w:rsidR="0087342B" w:rsidRDefault="00000000">
      <w:pPr>
        <w:pStyle w:val="Ttulo2"/>
      </w:pPr>
      <w:r>
        <w:t>6.13  Conclusión</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r>
      <w:r>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