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17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lastRenderedPageBreak/>
        <w:t>recent_morph_mean (1.283), ci_so_far (1.169), state_s_enc (874) y frac_path_m_30ev (872). El riesgo de un evento severo se lee como acumulación progresiva de deterioro dentro de la noche: la historia importa tanto como el estado presente.</w:t>
      </w:r>
    </w:p>
    <w:p>
      <w:pPr>
        <w:pStyle w:val="Normal"/>
        <w:spacing w:after="160" w:line="276" w:lineRule="auto"/>
        <w:jc w:val="both"/>
      </w:pPr>
      <w:r>
        <w:rPr>
          <w:rFonts w:ascii="Arial" w:cs="Arial" w:eastAsia="Arial" w:hAnsi="Arial"/>
          <w:sz w:val="22"/>
          <w:szCs w:val="22"/>
        </w:rPr>
        <w:t xml:space="preserve">La prominencia del contexto acumulado sobre la morfología individual tiene una implicación interpretativa importante que emerge de la interacción entre el modelo y el fenómeno de fragmentación de eventos (§4.2.4). Cuando un episodio de hipoxemia prolongado es dividido por el algoritmo de detección en múltiples eventos cortos consecutivos, todos esos fragmentos comparten prácticamente el mismo estado PAC activo: el contexto fisiológico —estado M patológico, historial de caídas recientes, SpO₂ basal descendida— no cambia entre eventos separados por menos de 90 s. En consecuencia, el modelo asigna una P(severo) alta a cada fragmento aunque su morfotipo individual sea C1 o C2 por la baseline local ya descendida. Esto no constituye un error del modelo: el estado fisiológico está genuinamente comprometido durante todo el período, y el sistema detecta correctamente esa condición. La implicación práctica es que un </w:t>
      </w:r>
      <w:r>
        <w:rPr>
          <w:rFonts w:ascii="Arial" w:cs="Arial" w:eastAsia="Arial" w:hAnsi="Arial"/>
          <w:b/>
          <w:bCs/>
          <w:sz w:val="22"/>
          <w:szCs w:val="22"/>
        </w:rPr>
        <w:t>clúster denso de probabilidades altas en morfotipos leves</w:t>
      </w:r>
      <w:r>
        <w:rPr>
          <w:rFonts w:ascii="Arial" w:cs="Arial" w:eastAsia="Arial" w:hAnsi="Arial"/>
          <w:sz w:val="22"/>
          <w:szCs w:val="22"/>
        </w:rPr>
        <w:t xml:space="preserve"> es la firma predictiva de un episodio prolongado fragmentado, más que la señal de múltiples eventos independientes con riesgo contextual oculto.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de esa ventana temporal. Esta distinción se refleja en la interfaz de visualización, donde el gráfico P(severo) de la aplicación permite identificar visualmente estos clústeres y el texto interpretativo automático alerta al especialista cuando el patrón es consistente con fragmentación (§7.4.2).</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0,657.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0,874, AP = 0,764. Random Forest (rojo): AUC = 0,815, AP = 0,657.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lastRenderedPageBreak/>
        <w:t>patológicos, con qué frecuencia el organismo se recupera de ellos, qué trayectoria sigue la noche y qué nivel de vulnerabilidad fisiológica acumulada puede estimarse una vez completada.</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