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rFonts w:ascii="Arial" w:cs="Arial" w:eastAsia="Arial" w:hAnsi="Arial"/>
          <w:b/>
          <w:bCs/>
          <w:color w:val="1E3A5F"/>
          <w:sz w:val="48"/>
          <w:szCs w:val="48"/>
        </w:rPr>
        <w:t xml:space="preserve">CAPÍTULO 6</w:t>
      </w:r>
    </w:p>
    <w:p>
      <w:pPr>
        <w:spacing w:after="120"/>
      </w:pPr>
      <w:r>
        <w:rPr>
          <w:rFonts w:ascii="Arial" w:cs="Arial" w:eastAsia="Arial" w:hAnsi="Arial"/>
          <w:b/>
          <w:bCs/>
          <w:sz w:val="32"/>
          <w:szCs w:val="32"/>
        </w:rPr>
        <w:t xml:space="preserve">Modelado predictivo basado en PAC: acoplamiento evento–estado, severidad y riesgo fisiológico nocturno</w:t>
      </w:r>
    </w:p>
    <w:p>
      <w:pPr>
        <w:spacing w:after="400"/>
      </w:pPr>
      <w:r>
        <w:rPr>
          <w:rFonts w:ascii="Arial" w:cs="Arial" w:eastAsia="Arial" w:hAnsi="Arial"/>
          <w:i/>
          <w:iCs/>
          <w:color w:val="666666"/>
          <w:sz w:val="22"/>
          <w:szCs w:val="22"/>
        </w:rPr>
        <w:t xml:space="preserve">Versión 2  ·  Mayo 2026</w:t>
      </w:r>
    </w:p>
    <w:p>
      <w:pPr>
        <w:pStyle w:val="Heading2"/>
        <w:spacing w:after="140" w:before="300"/>
      </w:pPr>
      <w:r>
        <w:rPr>
          <w:rFonts w:ascii="Arial" w:cs="Arial" w:eastAsia="Arial" w:hAnsi="Arial"/>
          <w:b/>
          <w:bCs/>
          <w:color w:val="1E3A5F"/>
          <w:sz w:val="26"/>
          <w:szCs w:val="26"/>
        </w:rPr>
        <w:t xml:space="preserve">6.1  Introducción</w:t>
      </w:r>
    </w:p>
    <w:p>
      <w:pPr>
        <w:spacing w:after="140" w:line="280"/>
        <w:jc w:val="both"/>
      </w:pPr>
      <w:r>
        <w:rPr>
          <w:rFonts w:ascii="Arial" w:cs="Arial" w:eastAsia="Arial" w:hAnsi="Arial"/>
          <w:sz w:val="22"/>
          <w:szCs w:val="22"/>
        </w:rPr>
        <w:t xml:space="preserve">Este capítulo integra los resultados de tres notebooks del pipeline PAC_v2.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 Los tres niveles de análisis —evento, noche, integración— son complementarios: cada uno captura una dimensión de la fisiología nocturna que los demás no agotan.</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—el más raro de la escala S, con apenas el 1 % de las ventanas— presenta un RR = 4,9: cuando el sistema PAC asigna S6 a una ventana de 30 segundos, el evento que ocurre en ella tiene casi cinco veces más probabilidad de ser morfológicamente severo.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cohorte in_strict, 12 pacientes). RR = P(severo | estado) / P(severo) marginal. Los estados patológicos son los que superan la mediana de tasa de severidad. Origen: NB05, Sección 2.</w:t>
      </w:r>
    </w:p>
    <w:p>
      <w:pPr>
        <w:spacing w:after="60" w:before="16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C4–C5 respecto a los estados protectores. V de Cramér: escala S = 0,354; escala M = 0,230; escala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 Los tres chi-cuadrado son significativos (p &lt; 2,2×10⁻³⁶).</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 Dos noches con la misma proporción de C4+C5 pueden diferir sustancialmente en acoplamiento si sus eventos severos se distribuyen de manera distinta respecto a los estados patológicos.</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(escala de segundos) y en la regulación intermedia (escala de minutos) son fenómenos sustancialmente no redundantes. Un paciente puede mostrar alta concentración de eventos severos en estados patológicos de escala S sin que eso se refleje en las escalas más largas, y viceversa. La correlación moderada entre ci_m y ci_l indica que los procesos a 5 y 30 minutos comparten información parcial, coherente con que ambas escalas capturan aspectos de la acumulación hipóxica sostenida.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Estados patológicos = aquellos con tasa de eventos severos superior a la mediana del sistema. ci_s y ci_m son casi independientes; ci_m y ci_l presentan correlación moderada. Las tres variantes del CI ingresan como features independientes en NB07. Origen: NB05, Sección 3.</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sistema muestra capacidad de recuperación considerable: el 43,3 % de los eventos severos en estados patológicos fue seguido por un retorno al estado protector en la siguiente ventana, frente al 40,2 % que permaneció en estado patológico (el complemento corresponde a estados intermedios). A escala M (5 min), la distribución se invierte con fuerza: solo el 12,3 % mostró recuperación al estado protector, mientras que el 80,4 % permaneció en estado patológico. A escala L (30 min), la resiliencia es prácticamente inexistente: el 1,3 % de los eventos severos en L0 o L1 fue seguido por un retorno a L3, frente al 74,5 % que permaneció en arquitectura patológica.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el estado siguiente es protector (S0/S1/S3, M0/M2, L3). Colapsado = el estado siguiente es patológico (S2/S4/S6, M1/M3, L0/L1). La diferencia al 100 % corresponde a estados intermedios o al último evento de la noche. Origen: NB05, Sección 4.</w:t>
      </w:r>
    </w:p>
    <w:p>
      <w:pPr>
        <w:spacing w:after="140" w:line="280"/>
        <w:jc w:val="both"/>
      </w:pPr>
      <w:r>
        <w:rPr>
          <w:rFonts w:ascii="Arial" w:cs="Arial" w:eastAsia="Arial" w:hAnsi="Arial"/>
          <w:sz w:val="22"/>
          <w:szCs w:val="22"/>
        </w:rPr>
        <w:t xml:space="preserve">La interpretación fisiológica es directa: a la resolución de 30 segundos, el organismo conserva capacidad de recuperación espontánea en casi la mitad de los casos. En cambio, a la resolución de 5 minutos el patrón es de persistencia: el evento severo en M1 no es un accidente aislado sino la expresión de un bloque de cinco minutos con arquitectura hipóxica consolidada. El 1,3 % de resiliencia a escala L cuantifica esta inercia en su expresión máxima: cuando la noche entra en un bloque largo de arquitectura patológica (L0), el evento severo que ocurre en su interior no precipita ningún cambio en la tendencia global. Esta propiedad —la inercia creciente del sistema hipóxico con la escala temporal— tiene implicancias para pensar en ventanas de intervención terapéutica: las escalas cortas ofrecen mayor margen de oportunidad que las largas.</w:t>
      </w:r>
    </w:p>
    <w:p>
      <w:pPr>
        <w:spacing w:after="60" w:before="16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Resiliencia fisiológica post-evento en las tres escalas temporales. Para cada escala, la barra compara la fracción de eventos severos en estado patológico seguidos de retorno a estado protector (resiliente) versus la fracción que permaneció en estado patológico (colapsado). El gradiente decreciente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severos C4+C5, cohorte in_strict (12 pacientes).</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 sobre las noches de la cohorte in_strict. Las cadenas son de primer orden: la probabilidad de transición al estado siguiente depende únicamente del estado actual.</w:t>
      </w:r>
    </w:p>
    <w:p>
      <w:pPr>
        <w:spacing w:after="140" w:line="280"/>
        <w:jc w:val="both"/>
      </w:pPr>
      <w:r>
        <w:rPr>
          <w:rFonts w:ascii="Arial" w:cs="Arial" w:eastAsia="Arial" w:hAnsi="Arial"/>
          <w:sz w:val="22"/>
          <w:szCs w:val="22"/>
        </w:rPr>
        <w:t xml:space="preserve">Las matrices de transición revelan una propiedad estructural relevante: las distribuciones estacionarias no son uniformes, y sus modos coinciden con los estados protectores identificados en §5.6. En escala S, el modo es S1; en escala M, M0 (ρ AHI = −0,622; §5.3); en escala L, L3 (ρ AHI = −0,668; §5.4). El sistema tiende a volver a estos atractores protectores: los estados patológicos son visitados con menor frecuencia y, como se vio en §6.5, muestran mayor persistencia cuando son alcanzados.</w:t>
      </w:r>
    </w:p>
    <w:p>
      <w:pPr>
        <w:spacing w:after="140" w:line="280"/>
        <w:jc w:val="both"/>
      </w:pPr>
      <w:r>
        <w:rPr>
          <w:rFonts w:ascii="Arial" w:cs="Arial" w:eastAsia="Arial" w:hAnsi="Arial"/>
          <w:sz w:val="22"/>
          <w:szCs w:val="22"/>
        </w:rPr>
        <w:t xml:space="preserve">El análisis de rutas de transición hacia estados patológicos permite identificar corredores de vulnerabilidad: secuencias de estados que incrementan la probabilidad de ingresar en M1 o L0 en los intervalos siguientes. A escala M, ciertas transiciones desde M4 y M3 hacia M1 presentan probabilidades notablemente superiores al ruido de fondo. A escala L, la transición desde L1 y L2 hacia L0 describe el camino hacia la arquitectura hipóxica global más extrema. Estos corredores no son determinísticos: representan incrementos de probabilidad. Su existencia, sin embargo, abre la posibilidad de monitorear el avance del sistema hacia estados de mayor vulnerabilidad antes de que el evento severo ocurra.</w:t>
      </w:r>
    </w:p>
    <w:p>
      <w:pPr>
        <w:spacing w:after="60" w:before="16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Matrices de transición Markoviana de los PAC States en las tres escalas. La intensidad del color de cada celda representa la probabilidad de transición del estado fila al estado columna. Los atractores del sistema (S1, M0, L3) presentan alta probabilidad de auto-transición o retorno.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cohorte in_strict (12 pacientes). No se mezclan transiciones entre noches distintas.</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PC1 opone noches con alta fracción de M1, alta severidad morfotípica y ARI bajo (polo negativo: carga hipóxica pasiva) frente a noches dinámicas, con alto ARI, muchas transiciones y alta entropía (polo positivo: reactividad autonómica activa). PC2 es dominado por la entropía y el número de transiciones, separando noches dinámicas de noches monótonas independientemente de su carga hipóxica. El clustering identificó tres fenotipos nocturnos interpretables.</w:t>
      </w:r>
    </w:p>
    <w:p>
      <w:pPr>
        <w:spacing w:after="140" w:line="280"/>
        <w:jc w:val="both"/>
      </w:pPr>
      <w:r>
        <w:rPr>
          <w:rFonts w:ascii="Arial" w:cs="Arial" w:eastAsia="Arial" w:hAnsi="Arial"/>
          <w:sz w:val="22"/>
          <w:szCs w:val="22"/>
        </w:rPr>
        <w:t xml:space="preserve">El fenotipo Estable-Protector agrupa noches con fracción de M1 prácticamente nula (mediana 2,8 %), bajo porcentaje de eventos severos (3,1 %) y ARI = 0,522. El fenotipo Carga Intermedia se caracteriza por la mayor entropía (1,933) y el mayor número de transiciones (mediana ≂42), con ARI = 0,493 y 5,0 % de eventos severos: el sistema aún cambia de estado con frecuencia, alternando segmentos estables y vulnerables. El fenotipo Carga Hipóxica Alta es el más extremo: fracción de M1 = 78,1 %, 36,1 % de eventos severos, ARI = 0,284 (el más bajo de los tres) y solo seis transiciones de media —una noche monótona, sin dinámica ni respuesta autonómica—.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cohorte in_strict (12 pacientes). Origen: NB05, Sección 6.</w:t>
      </w:r>
    </w:p>
    <w:p>
      <w:pPr>
        <w:spacing w:after="140" w:line="280"/>
        <w:jc w:val="both"/>
      </w:pPr>
      <w:r>
        <w:rPr>
          <w:rFonts w:ascii="Arial" w:cs="Arial" w:eastAsia="Arial" w:hAnsi="Arial"/>
          <w:sz w:val="22"/>
          <w:szCs w:val="22"/>
        </w:rPr>
        <w:t xml:space="preserve">El hallazgo más significativo no es la descripción de los tres fenotipos sino su distribución en relación con la clasificación clínica AASM. El fenotipo Carga Hipóxica Alta —el de mayor extremismo fisiológico, con ARI = 0,284 y dinámica colapsada— aparece exclusivamente en un subgrupo de pacientes con severidad AASM Moderada (4,4 % de las noches Moderadas), y está completamente ausente en los pacientes Severos. Este resultado es contraintuitivo: los pacientes con mayor AHI convencional no son los que presentan el fenotipo nocturno más disfuncional según PAC. Una interpretación posible es que los pacientes Severos conservan cierta reactividad autonómica residual que genera transiciones entre estados y evita que la noche colapse completamente en M1. El subgrupo Moderado que cae en Carga Hipóxica Alta podría representar el perfil clínicamente más preocupante de la cohorte: severidad convencional moderada pero arquitectura nocturna completamente colapsada, sin respuesta autonómica y sin variedad dinámica.</w:t>
      </w:r>
    </w:p>
    <w:p>
      <w:pPr>
        <w:spacing w:after="60" w:before="16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Trayectorias nocturnas en el espacio PCA (PC1 × PC2), coloreadas por fenotipo dinámico PAC. PC1 (33,6 %) gradiente de carga hipóxica / respuesta autonómica. PC2 (23,6 %) gradiente de dinamismo y fragmentación. El fenotipo Carga Hipóxica Alta se localiza en el polo negativo de PC1 con baja entropía.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cohorte in_strict. El fenotipo Carga Hipóxica Alta aparece en el 4,4 % de las noches AASM Moderadas y en el 0 % de las Severas.</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(Normal, Leve, Moderado, Severo) sobre 540 noches de la cohorte estricta. Los grupos de features son: PAC States S/M/L (20 variables: seis por escala S, ocho por escala M, seis por escala L), PAC Dynamics (6 variables: coupling index por escala, entropía M y trayectoria nocturna), Morfotipos C1–C5 (6 variables), ARI (3 variables: media, p90 y desviación estándar nocturna), Sueño (3 variables: eficiencia, TST y WASO) y variables Clínicas (6 variables: sexo, IMC, HTA, apnea previa, diabetes y marcapasos). El análisis de Kruskal-Wallis previo al modelado confirmó que las features más asociadas con la severidad (H estadístico)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accuracy agregada es 0,622, pero la balanced accuracy —que pondera igualmente por clase— es 0,318 y el coeficiente de Cohen κ = 0,131 indica acuerdo "slight" según la escala de Landis y Koch (1977). El F1 ponderado es 0,522. Estos valores no deben interpretarse como fracaso predictivo, sino como consecuencia del problema específico: cuatro categorías desbalanceadas (Leve = 60,4 %; Moderado = 27,4 %; Normal = 7,6 %; Severo = 4,6 %), n efectivo de validación de ocho pacientes y alta variabilidad intraindividual. La accuracy de 0,622 es en gran medida un artefacto de predecir siempre Leve. El valor diagnóstico de NB06 reside en el análisis de importancia de features y en la comparación entre grupos de variables.</w:t>
      </w:r>
    </w:p>
    <w:p>
      <w:pPr>
        <w:spacing w:after="140" w:line="280"/>
        <w:jc w:val="both"/>
      </w:pPr>
      <w:r>
        <w:rPr>
          <w:rFonts w:ascii="Arial" w:cs="Arial" w:eastAsia="Arial" w:hAnsi="Arial"/>
          <w:sz w:val="22"/>
          <w:szCs w:val="22"/>
        </w:rPr>
        <w:t xml:space="preserve">El hallazgo central es que los PAC States constituyen el grupo predictor dominante. La importancia Gini promediada sobre los ocho folds asignó el 44,75 % del peso total a las variables de PAC States S/M/L, seguidas de morfotipos C1–C5 (20,2 %), dinámica PAC (14,7 %), variables clínicas (10,2 %), sueño (6,8 %) y ARI (3,4 %). Este resultado es notable porque los PAC States fueron aprendidos de forma completamente no supervisada, sin utilizar etiquetas clínicas de severidad. La Tabla 6.6 presenta los valores de importancia por grupo.</w:t>
      </w:r>
    </w:p>
    <w:p>
      <w:pPr>
        <w:spacing w:after="80" w:before="280"/>
      </w:pPr>
      <w:r>
        <w:rPr>
          <w:rFonts w:ascii="Arial" w:cs="Arial" w:eastAsia="Arial" w:hAnsi="Arial"/>
          <w:b/>
          <w:bCs/>
          <w:color w:val="1E3A5F"/>
          <w:sz w:val="20"/>
          <w:szCs w:val="20"/>
        </w:rPr>
        <w:t xml:space="preserve">Tabla 6.6. Importancia relativa de grupos de features en clasificación multiclase LOPO-CV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media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los 8 folds LOPO-CV. Clasificación multiclase de 4 categorías AASM, 540 noches, 8 pacientes (cohorte estricta). Origen: NB06.</w:t>
      </w:r>
    </w:p>
    <w:p>
      <w:pPr>
        <w:spacing w:after="140" w:line="280"/>
        <w:jc w:val="both"/>
      </w:pPr>
      <w:r>
        <w:rPr>
          <w:rFonts w:ascii="Arial" w:cs="Arial" w:eastAsia="Arial" w:hAnsi="Arial"/>
          <w:sz w:val="22"/>
          <w:szCs w:val="22"/>
        </w:rPr>
        <w:t xml:space="preserve">La Tabla 6.6b desglosa las diez features individuales de mayor importancia, que permiten identificar qué variables dentro de cada grupo son las más discriminativas. La variable dominante es frac_state_s_S3 (Gini = 0,0860), la fracción de tiempo en el estado S3 de escala corta —estado protector según los perfiles de §5.2—, cuya alta importancia refleja que las noches más benignas concentran tiempo en este estado. La segunda feature es n_transitions_state_s (Gini = 0,0739), que cuantifica el número de cambios de estado a 30 s: las noches de mayor severidad tienden a ser más estáticas. El IMC (bmi, Gini = 0,0731) ocupa el tercer lugar y es la única variable clínica entre las diez primeras; su presencia es esperable dado que el IMC es uno de los factores de riesgo más consistentes del SAOS. Morfotipos C1 y C2 (fracciones de morfotipos benignos) aparecen en cuarto y quinto lugar.</w:t>
      </w:r>
    </w:p>
    <w:p>
      <w:pPr>
        <w:spacing w:after="80" w:before="280"/>
      </w:pPr>
      <w:r>
        <w:rPr>
          <w:rFonts w:ascii="Arial" w:cs="Arial" w:eastAsia="Arial" w:hAnsi="Arial"/>
          <w:b/>
          <w:bCs/>
          <w:color w:val="1E3A5F"/>
          <w:sz w:val="20"/>
          <w:szCs w:val="20"/>
        </w:rPr>
        <w:t xml:space="preserve">Tabla 6.6b. Top-10 features individuales por importancia Gini (Random Forest,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1700"/>
        <w:gridCol w:w="296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29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2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tiempo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29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de escala S (noches activas vs. estáticas)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2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29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eventos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2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eventos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29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tiempo en estado L protector (ρ AHI = −0,668)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2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tiempo en estado L patológico (ρ T90 = +0,705)</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29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tiempo en estado M patológico (ρ T90 = +0,744)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2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29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tiempo en estado M protector (ρ AHI = −0,622)</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Los valores de rango 6–10 son aproximados (extraídos del gráfico de barras de NB06, figura 06_feature_importance_gini.png). Las correlaciones ρ AHI y ρ T90 son las reportadas en Cap05. Origen: NB06.</w:t>
      </w:r>
    </w:p>
    <w:p>
      <w:pPr>
        <w:spacing w:after="140" w:line="280"/>
        <w:jc w:val="both"/>
      </w:pPr>
      <w:r>
        <w:rPr>
          <w:rFonts w:ascii="Arial" w:cs="Arial" w:eastAsia="Arial" w:hAnsi="Arial"/>
          <w:sz w:val="22"/>
          <w:szCs w:val="22"/>
        </w:rPr>
        <w:t xml:space="preserve">El experimento de ablación por grupos refuerza esta conclusión. El modelo entrenado únicamente con PAC States y PAC Dynamics alcanzó balanced accuracy = 0,521 ± 0,218 sobre los ocho folds, superando al modelo con todas las features (0,461 ± 0,231) y al entrenado solo con variables clínicas clásicas (0,354 ± 0,294). El ligero descenso al agregar variables al núcleo PAC —visible en la secuencia PAC (0,521) → PAC+Morfotipos (0,507) → All (0,461)— sugiere que, con n = 8 en LOPO-CV, las variables adicionales introducen ruido de varianza mayor que su señal. Estos resultados sugieren que las representaciones PAC contienen información predictiva no redundante con los índices clínicos clásicos, obtenida de manera no supervisada.</w:t>
      </w:r>
    </w:p>
    <w:p>
      <w:pPr>
        <w:spacing w:after="140" w:line="280"/>
        <w:jc w:val="both"/>
      </w:pPr>
      <w:r>
        <w:rPr>
          <w:rFonts w:ascii="Arial" w:cs="Arial" w:eastAsia="Arial" w:hAnsi="Arial"/>
          <w:sz w:val="22"/>
          <w:szCs w:val="22"/>
        </w:rPr>
        <w:t xml:space="preserve">El comportamiento del ARI merece una lectura particular. Su baja importancia en el clasificador de severidad (3,4 %) y el rendimiento reducido del modelo ARI only (balanced accuracy = 0,281 ± 0,150) no implican que carezca de valor como dimensión fisiológica. Confirman, más bien, lo observado en §5.7: el ARI mide una dimensión ortogonal a la severidad hipóxica clásica (ρ ARI–ODI = 0,035), no un predictor lineal de la categoría AASM. Su rol en el sistema PAC es complementario al de los PAC States, describiendo la capacidad de respuesta autonómica del individuo más que el nivel de carga hipóxica de la noche.</w:t>
      </w:r>
    </w:p>
    <w:p>
      <w:pPr>
        <w:spacing w:after="60" w:before="16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Importancia relativa de grupos de features en clasificación multiclase LOPO-CV (NB06). Los PAC States ocupan el primer lugar con el 44,8 % del peso total. El ARI representa la menor contribución directa a la severidad clásica, consistente con su ortogonalidad respecto a los índices hipóxicos.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Importancia Gini promediada sobre 8 folds LOPO-CV. n = 540 noches, 8 pacientes.</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El primer módulo predictivo de NB07 (Bloque B) tiene como objetivo estimar la probabilidad de que un EDO individual sea morfológicamente severo (morfotipo C4 o C5). El lead time del modelo corresponde a la escala M (≈25 min): las features temporales se calculan de forma causal, acumulando información de los eventos previos y del estado PAC en ventanas de hasta 5 minutos antes del evento en cuestión. Los primeros cinco EDOs de cada noche se excluyen por carecer de contexto previo suficiente, lo que produce el corpus de modelado de 76.053 eventos (sobre 78.908 totales de la cohorte estricta). La prevalencia de eventos severos en el corpus de modelado es 5,57 % (4.238 eventos C4+C5). Esta restricción causal es fundamental para que el modelo tenga potencial valor prospectivo.</w:t>
      </w:r>
    </w:p>
    <w:p>
      <w:pPr>
        <w:spacing w:after="140" w:line="280"/>
        <w:jc w:val="both"/>
      </w:pPr>
      <w:r>
        <w:rPr>
          <w:rFonts w:ascii="Arial" w:cs="Arial" w:eastAsia="Arial" w:hAnsi="Arial"/>
          <w:sz w:val="22"/>
          <w:szCs w:val="22"/>
        </w:rPr>
        <w:t xml:space="preserve">Se comparó una regresión logística como modelo basal con un clasificador LightGBM, validados en esquema LOPO-CV. La regresión logística alcanzó AUC = 0,743 (Sensibilidad = 0,716; Especificidad = 0,660 al umbral de Youden). El LightGBM mejoró sustancialmente: AUC = 0,878, con Sensibilidad = 0,87 y Especificidad = 0,76 al umbral óptimo (0,38). La mejora en Average Precision respecto al baseline fue de 4,3× (AP LightGBM = 0,240; baseline AP = 5,56 %, equivalente a la prevalencia de la clase). Los resultados por fold son robustos y consistentes: rango de AUC por paciente entre 0,798 y 0,964 en los ocho folds.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 vs.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evento C4 o C5 (5,57 % del corpus de modelado, n = 76.053). Umbral por criterio de Youden en LOPO-CV. Rango AUC por fold (LightGBM): 0,798–0,964. Baseline AP = 5,56 % (prevalencia de la clase). Origen: NB07, Bloque B.</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no las propiedades instantáneas del evento. Las cinco features de mayor contribución son: event_position (posición relativa en la noche, gain = 1.651), recent_morph_mean (media de severidad morfotípica de los últimos 30 eventos, gain = 1.283), ci_so_far (coupling index acumulado desde el inicio de la noche, gain = 1.169), state_s_enc (estado PAC de escala S actual, gain = 874) y frac_path_m_30ev (fracción de los últimos 30 eventos en estado M patológico, gain = 872). La historia importa tanto como el estado presente: el modelo "lee" el riesgo de un evento como la acumulación progresiva de deterioro dentro de la noche.</w:t>
      </w:r>
    </w:p>
    <w:p>
      <w:pPr>
        <w:spacing w:after="60" w:before="16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Curva ROC del modelo predictivo de evento severo en validación LOPO-CV. Curva gruesa = LightGBM agregado; curva delgada = regresión logística basal. Las curvas por fold individual muestran consistencia entre pacientes. AUC LightGBM = 0,878; AUC logística = 0,743.</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con contexto (8 pacientes). Features calculadas de forma causal; primeros 5 eventos/noche excluidos.</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Esta simplificación tiene fundamento metodológico y clínico: reduce la inestabilidad de una clasificación multiclase con n = 8 pacientes, y aproxima una pregunta práctica de estratificación. El corpus es de 494 noches —las 540 de la cohorte estricta menos aquellas con algún feature faltante—. La prevalencia de la clase positiva (Moderado + Severo) en este corpus es 34,8 % (172 noches). Las features son agregados de la noche completa —fracciones de tiempo en estados PAC, entropía, transiciones, coupling index, porcentaje de eventos severos, ARI medio y trayectoria—. La clasificación es retrospectiva: se realiza sobre la noche ya completada, no en tiempo real. Su utilidad clínica es de fenotipado post-diagnóstico, seguimiento longitudinal y estratificación de riesgo.</w:t>
      </w:r>
    </w:p>
    <w:p>
      <w:pPr>
        <w:spacing w:after="140" w:line="280"/>
        <w:jc w:val="both"/>
      </w:pPr>
      <w:r>
        <w:rPr>
          <w:rFonts w:ascii="Arial" w:cs="Arial" w:eastAsia="Arial" w:hAnsi="Arial"/>
          <w:sz w:val="22"/>
          <w:szCs w:val="22"/>
        </w:rPr>
        <w:t xml:space="preserve">Se compararon regresión logística y Random Forest en esquema LOPO-CV. La regresión logística obtuvo AUC = 0,905 y Average Precision = 0,834 (baseline = 0,348). El Random Forest obtuvo AUC = 0,783 y AP = 0,649. Este es el resultado más sólido del módulo predictivo, y la superioridad de la regresión logística sobre el Random Forest sugiere que, una vez transformadas las señales crudas en features PAC, la separación entre noches de bajo y alto riesgo puede aproximarse de forma lineal. La complejidad fisiológica fue capturada en etapas previas del pipeline; el modelo final opera sobre una representación ya estructurada. Esta propiedad tiene además valor de transparencia: los coeficientes logísticos permiten leer la dirección y magnitud de cada feature, lo que puede ser determinante en contextos de decisión médica.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(540 noches de cohorte estricta, 46 excluidas por features faltantes). Baseline AP = 0,348 = prevalencia clase positiva. Origen: NB07, Bloque C.</w:t>
      </w:r>
    </w:p>
    <w:p>
      <w:pPr>
        <w:spacing w:after="140" w:line="280"/>
        <w:jc w:val="both"/>
      </w:pPr>
      <w:r>
        <w:rPr>
          <w:rFonts w:ascii="Arial" w:cs="Arial" w:eastAsia="Arial" w:hAnsi="Arial"/>
          <w:sz w:val="22"/>
          <w:szCs w:val="22"/>
        </w:rPr>
        <w:t xml:space="preserve">Las features dominantes según la importancia del Random Forest son las fracciones de tiempo en los estados de escala M: frac_state_m_M0 (importancia = 0,203), frac_state_m_M3 (0,198), frac_state_m_M1 (0,152) y frac_state_m_M2 (0,141), que en conjunto explican el 69,4 % de la importancia total. Esta distribución es coherente con el hallazgo de especialización funcional de §5.6: la escala M es la que mejor captura la acumulación hipóxica de la noche. El tiempo relativo en M1 (estado de mayor carga hipóxica, ρ T90 = +0,744) versus M0 y M2 (estados protectores) contiene suficiente información para estratificar el riesgo nocturno con AUC = 0,905.</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clasificadas como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w:t>
      </w:r>
    </w:p>
    <w:p>
      <w:pPr>
        <w:spacing w:after="140" w:line="280"/>
        <w:jc w:val="both"/>
      </w:pPr>
      <w:r>
        <w:rPr>
          <w:rFonts w:ascii="Arial" w:cs="Arial" w:eastAsia="Arial" w:hAnsi="Arial"/>
          <w:sz w:val="22"/>
          <w:szCs w:val="22"/>
        </w:rPr>
        <w:t xml:space="preserve">Esta coherencia entre los coeficientes del modelo y la narrativa fisiológica desarrollada en los capítulos previos constituye un indicador de validez de constructo. El modelo no depende de variables opacas ni correlaciones espurias: su resultado emerge de dimensiones interpretables que, de forma independiente, ya habían mostrado asociación con la severidad clínica en los análisis descriptivos de Cap05. La interpretabilidad no es un add-on posterior sino una consecuencia natural de haber estructurado el problema mediante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para evitar la influencia de valores extremos— con el componente nocturno (60 %) —probabilidad de riesgo alto (Moderado + Severo)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700"/>
        <w:gridCol w:w="2966"/>
        <w:gridCol w:w="100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9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Variables incluidas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9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Media de p_severo nocturno (normalizada)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9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Fracciones PAC States + coupling index + ARI + trayectoria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La fórmula de integración es: Risk Score = (0,40 × p_ev_norm + 0,60 × p_high_risk_night) × 100, recortado a [0,100]. Etiquetas: Bajo (&lt; 30), Moderado (30–60), Alto (&gt; 60). El componente de evento es un agregado de la noche completa, no en tiempo real.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tres razones: (i) su AUC superior (0,905 frente a 0,878 del modelo de evento), lo que indica mayor capacidad discriminativa sobre el corpus de validación; (ii) su naturaleza global —el score nocturno condensa la arquitectura completa de la noche, mientras que el score de evento es un promedio de probabilidades puntuales—; y (iii) la menor sensibilidad de las features nocturnas al ruido de señal en ventanas individuales. El peso de 40 % del componente de evento no es trivial: preserva información sobre la distribución temporal de la severidad dentro de la noche, que el modelo nocturno no captura explícitamente. La elección 40/60 no fue sometida a análisis de sensibilidad formal; variaciones en el rango 30/70–50/50 producirían distribuciones de scores con gradiente AASM igualmente claro, aunque con distintos umbrales de corte. Esta limitación está reconocida en §6.15.</w:t>
      </w:r>
    </w:p>
    <w:p>
      <w:pPr>
        <w:spacing w:after="140" w:line="280"/>
        <w:jc w:val="both"/>
      </w:pPr>
      <w:r>
        <w:rPr>
          <w:rFonts w:ascii="Arial" w:cs="Arial" w:eastAsia="Arial" w:hAnsi="Arial"/>
          <w:sz w:val="22"/>
          <w:szCs w:val="22"/>
        </w:rPr>
        <w:t xml:space="preserve">La distribución del score en función de la categoría clínica AASM muestra un gradiente claro y monótono. Las noches Normales y Leves presentan medianas de 29,2 y 29,4 respectivamente; las noches Moderadas, mediana = 72,9; las Severas, mediana = 81,0. El umbral de 60 puntos identifica el 100 % de las noches Severas y el 77,6 % de las Moderadas como de alto riesgo, con una tasa de falsos positivos del 9,4 % en Leve y del 0 % en Normal. El 22,4 % de noches Moderadas que caen bajo el umbral 60 corresponden, presumiblemente, al subgrupo de pacientes con AHI moderado pero dinámica nocturna relativamente benigna —coherente con la heterogeneidad del grupo Moderado observada en §6.7—.</w:t>
      </w:r>
    </w:p>
    <w:p>
      <w:pPr>
        <w:spacing w:after="140" w:line="280"/>
        <w:jc w:val="both"/>
      </w:pPr>
      <w:r>
        <w:rPr>
          <w:rFonts w:ascii="Arial" w:cs="Arial" w:eastAsia="Arial" w:hAnsi="Arial"/>
          <w:sz w:val="22"/>
          <w:szCs w:val="22"/>
        </w:rPr>
        <w:t xml:space="preserve">El Risk Score PAC no es un reescalado del ODI ni una transformación monotónica del AHI. Dos pacientes con el mismo ODI pero trayectorias nocturnas distintas obtendrán scores marcadamente diferentes: el score cuantifica si la noche fue fisiológicamente estable o si el paciente transitó por estados de vulnerabilidad acumulada, diferencia que los índices clásicos no distinguen.</w:t>
      </w:r>
    </w:p>
    <w:p>
      <w:pPr>
        <w:spacing w:after="60" w:before="16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Distribución del Risk Score PAC (0–100) por categoría clínica AASM. El gradiente de medianas (29,2 → 29,4 → 72,9 → 81,0) es claro y monótono. La superposición parcial entre Leve y Moderado refleja la diferencia semántica entre severidad clásica (conteo de eventos) y vulnerabilidad fisiológica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noches Severas se clasifican como Alto riesgo al umbral 60. El 77,6 % de las Moderadas superan el umbral (9,4 % de las Leves; 0 % de las Normales).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Esta representación permite reinterpretar la severidad clínica. Una noche no es severa únicamente porque tenga muchos eventos, sino porque esos eventos ocurren dentro de bloques fisiológicos vulnerables, muestran menor resiliencia posterior, se acoplan con estados patológicos en múltiples escalas y forman parte de una trayectoria de alta carga hipóxica. Esta visión es especialmente útil en pacientes con discordancia entre índices clásicos y manifestaciones clínicas: el Risk Score PAC podría identificar noches fisiológicamente críticas que el ODI o el T90 convencionales no destacan. El subgrupo de SAOS Moderado con fenotipo Carga Hipóxica Alta (§6.7) ilustra este punto con precisión.</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con lead time de ≈25 min, tiene potencial en sistemas de monitoreo continuo activo, como CPAP adaptativo. El módulo nocturno (AUC = 0,905) opera en modo retrospectivo, siendo valioso para fenotipado post-diagnóstico, seguimiento longitudinal de respuesta terapéutica y priorización de pacientes en ensayos.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y que los morfotipos severos (C4, C5) concentran mayor profundidad de caída, mayor carga hipóxica y mayor respuesta autonómica. El Capítulo 5 demostró que la noche se organiza en estados dinámicos a tres escalas, con especialización funcional: frecuencia de eventos (escala S, estado S4), carga hipóxica acumulada (escala M, estado M1) y reactividad autonómica (escala S, estado S5).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El mensaje central del capítulo puede formularse así: PAC no es un pipeline de procesamiento ni una colección de features. Es un marco de representación fisiológica que permite pasar de señales crudas de pulsioximetría a objetos clínicamente interpretables —morfotipos, estados, trayectorias, resiliencia, riesgo—. La predicción emerge naturalmente de esa representación, no como un módulo externo añadido, sino como la consecuencia de haber estructurado la complejidad fisiológica en capas de abstracción creciente. Los PAC States, construidos de forma completamente no supervisada sobre señales de SpO₂, FC y movimiento, emergen como el grupo predictor dominante en la clasificación de severidad nocturna.</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El rendimiento robusto del modelo nocturno binario (AUC = 0,905) contrasta con el rendimiento modesto del clasificador multiclase (balanced accuracy = 0,318). Esta discrepancia no implica inconsistencia: refleja que la distinción entre bajo riesgo (Normal + Leve) y riesgo clínico relevante (Moderado + Severo) puede ser linealizable en el espacio de features PAC, mientras que la separación entre cuatro categorías desbalanceadas con n = 8 es un problema considerablemente más difícil. Ambas perspectivas son informativas: la multiclase aporta el análisis de importancia de variables; la binaria, la métrica de discriminación clínicamente relevante.</w:t>
      </w:r>
    </w:p>
    <w:p>
      <w:pPr>
        <w:spacing w:after="140" w:line="280"/>
        <w:jc w:val="both"/>
      </w:pPr>
      <w:r>
        <w:rPr>
          <w:rFonts w:ascii="Arial" w:cs="Arial" w:eastAsia="Arial" w:hAnsi="Arial"/>
          <w:sz w:val="22"/>
          <w:szCs w:val="22"/>
        </w:rPr>
        <w:t xml:space="preserve">La asignación de pesos en el Risk Score PAC (40 % componente de evento, 60 % componente nocturno) fue una decisión heurística basada en el rendimiento relativo de ambos componentes. No se realizó análisis de sensibilidad formal a la variación de esos pesos ni optimización mediante validación cruzada anidada. Una mayor o menor ponderación del componente de evento modificaría las medianas del score pero no necesariamente la capacidad de estratificación del umbral de 60 puntos, que depende principalmente del componente nocturno. Este aspecto requiere evaluación en trabajo futuro con cohorte más amplia.</w:t>
      </w:r>
    </w:p>
    <w:p>
      <w:pPr>
        <w:spacing w:after="140" w:line="280"/>
        <w:jc w:val="both"/>
      </w:pPr>
      <w:r>
        <w:rPr>
          <w:rFonts w:ascii="Arial" w:cs="Arial" w:eastAsia="Arial" w:hAnsi="Arial"/>
          <w:sz w:val="22"/>
          <w:szCs w:val="22"/>
        </w:rPr>
        <w:t xml:space="preserve">El módulo de predicción de evento, aunque sus features se calculan de forma causal, fue entrenado y evaluado sobre el corpus existente. La generalización a un flujo en tiempo real implicaría re-entrenar el modelo con datos del dispositivo en streaming, gestionar la ausencia de ciertos features calculados a posteriori y evaluar el rendimiento en condiciones domiciliarias distintas a las del protocolo. Estos aspectos trascienden el alcance del presente trabajo.</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dispositivo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El hallazgo más significativo del análisis de trayectorias nocturnas es la disociación entre severidad clásica y fenotipo dinámico PAC: el fenotipo de máxima disfunción fisiológica (Carga Hipóxica Alta, ARI = 0,284, M1 = 78,1 %) no aparece en los pacientes SAOS Severos sino en un subgrupo del grupo Moderado. Este resultado ilustra la dimensión que los índices clásicos no capturan: dos pacientes con AHI similar pueden tener arquitecturas nocturnas radicalmente distintas, y esa diferencia puede ser clínicamente relevante.</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El modelo predictivo no constituye un agregado externo al análisis fisiológico, sino la consecuencia natural de la representación desarrollada en los capítulos precedentes.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2026-05-26T22:29:25.271Z</dcterms:created>
  <dcterms:modified xsi:type="dcterms:W3CDTF">2026-05-26T22:29:25.272Z</dcterms:modified>
</cp:coreProperties>
</file>

<file path=docProps/custom.xml><?xml version="1.0" encoding="utf-8"?>
<Properties xmlns="http://schemas.openxmlformats.org/officeDocument/2006/custom-properties" xmlns:vt="http://schemas.openxmlformats.org/officeDocument/2006/docPropsVTypes"/>
</file>