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20  ·  Mayo 2026</w:t>
      </w:r>
    </w:p>
    <w:p w14:paraId="44239F02" w14:textId="77777777" w:rsidR="0087342B" w:rsidRDefault="00000000">
      <w:pPr>
        <w:pStyle w:val="Ttulo2"/>
      </w:pPr>
      <w:r>
        <w:t>6.1  Contexto, corpus y diseño analítico</w:t>
      </w:r>
    </w:p>
    <w:p>
      <w:pPr>
        <w:spacing w:after="140" w:line="280" w:lineRule="auto"/>
        <w:jc w:val="both"/>
      </w:pPr>
      <w:r>
        <w:rPr>
          <w:sz w:val="20"/>
          <w:szCs w:val="20"/>
        </w:rPr>
        <w:t xml:space="preserve">Este capítulo construye, sobre las representaciones PAC desarrolladas en Cap04 y Cap05, el arco predictivo del proyecto: desde la cuantificación del acoplamiento entre morfotipos y estados dinámicos hasta la integración de los modelos en un índice de riesgo fisiológico nocturno (Risk Score PAC, 0–100). El análisis se organiza en tres bloques: acoplamiento y dinámica nocturna (§6.2–6.6), modelos predictivos validados por LOPO-CV (§6.7–6.10), y síntesis en el Risk Score PAC (§6.11–6.12).</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560430067"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completa (83.892 eventos con morfotipo y estado asignado, 560 noches). El modelo nocturno opera sobre las 540 noches de la cohorte estricta.</w:t>
      </w:r>
    </w:p>
    <w:p w14:paraId="727E560E" w14:textId="77777777" w:rsidR="0087342B" w:rsidRDefault="00000000">
      <w:pPr>
        <w:pStyle w:val="Ttulo2"/>
      </w:pPr>
      <w:r>
        <w:t>6.2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pPr>
        <w:spacing w:after="100" w:line="280" w:lineRule="auto"/>
        <w:jc w:val="both"/>
      </w:pPr>
      <w:r>
        <w:rPr>
          <w:i/>
          <w:iCs/>
          <w:color w:val="6B7280"/>
          <w:sz w:val="18"/>
          <w:szCs w:val="18"/>
        </w:rPr>
        <w:t xml:space="preserve">▸ Figuras complementarias disponibles en Anexo Figuras: Fig. 6.1 (distribución condicional P(morfotipo|estado)), Fig. 6.2 (riesgo relativo por estado), Fig. 6.2c (acoplamiento escala M).</w:t>
      </w:r>
    </w:p>
    <w:p w14:paraId="0DF17B6B" w14:textId="77777777" w:rsidR="0087342B" w:rsidRDefault="00000000">
      <w:pPr>
        <w:pStyle w:val="Ttulo2"/>
      </w:pPr>
      <w:r>
        <w:t>6.3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Desde una perspectiva de modelado, esta independencia justifica el uso combinado de ambas métricas en los modelos predictivos de §6.8–6.9 sin riesgo de multicolinealidad entre escalas.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pPr>
        <w:spacing w:after="100" w:line="280" w:lineRule="auto"/>
        <w:jc w:val="both"/>
      </w:pPr>
      <w:r>
        <w:rPr>
          <w:i/>
          <w:iCs/>
          <w:color w:val="6B7280"/>
          <w:sz w:val="18"/>
          <w:szCs w:val="18"/>
        </w:rPr>
        <w:t xml:space="preserve">▸ Figuras complementarias en Anexo Figuras: Fig. 6.3 (coupling index por escala), Fig. 6.4c (dos noches con ODI3 idéntico y CI opuesto).</w:t>
      </w:r>
    </w:p>
    <w:p w14:paraId="153E59A0" w14:textId="77777777" w:rsidR="0087342B" w:rsidRDefault="00000000">
      <w:pPr>
        <w:pStyle w:val="Ttulo2"/>
      </w:pPr>
      <w:r>
        <w:lastRenderedPageBreak/>
        <w:t>6.4  Dinámica temporal peri-evento y resiliencia fisiológica  (NB05, Sección 4)</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2F100001" w14:textId="77777777" w:rsidR="0087342B" w:rsidRDefault="00000000">
      <w:pPr>
        <w:spacing w:after="140" w:line="280" w:lineRule="auto"/>
        <w:jc w:val="both"/>
      </w:pPr>
      <w:r>
        <w:t xml:space="preserve">El colapso casi total a escala L —donde menos del 2 % de los eventos severos van seguidos de recuperación al estado protector dentro de los 30 minutos siguientes— sugiere que, una vez que el sistema fisiológico ingresa en un régimen de alta carga hipóxica sostenida, la recuperación espontánea a escala de la arquitectura nocturna global es excepcional en esta cohorte. Este resultado es consistente con la dinámica Markoviana de §6.5: la inercia del estado M1 —cuya probabilidad de autotransición es la más alta del sistema— es el principal correlato estructural de esa persistencia patológica.</w:t>
      </w:r>
    </w:p>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pPr>
        <w:spacing w:after="100" w:line="280" w:lineRule="auto"/>
        <w:jc w:val="both"/>
      </w:pPr>
      <w:r>
        <w:rPr>
          <w:i/>
          <w:iCs/>
          <w:color w:val="6B7280"/>
          <w:sz w:val="18"/>
          <w:szCs w:val="18"/>
        </w:rPr>
        <w:t xml:space="preserve">▸ Figuras complementarias en Anexo Figuras: Fig. 6.4 (resiliencia por escala temporal), Fig. 6.5c (dinámica peri-evento).</w:t>
      </w:r>
    </w:p>
    <w:p w14:paraId="6C900222" w14:textId="77777777" w:rsidR="0087342B" w:rsidRDefault="00000000">
      <w:pPr>
        <w:pStyle w:val="Ttulo2"/>
      </w:pPr>
      <w:r>
        <w:t>6.5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El corredor M3→M1 en escala M es el más pronunciado: una ventana en estado M3 va seguida de M1 con una probabilidad de transición que produce un RR = 3,3 respecto a la probabilidad marginal de evento severo, equivalente al riesgo relativo del estado M1 puro reportado en §6.2. Estos corredores no son determinísticos: representan incrementos de probabilidad cuya existencia abre la posibilidad de monitorear el avance del sistema hacia mayor vulnerabilidad antes de que el evento severo ocurra.</w:t>
      </w:r>
    </w:p>
    <w:p>
      <w:pPr>
        <w:spacing w:after="100" w:line="280" w:lineRule="auto"/>
        <w:jc w:val="both"/>
      </w:pPr>
      <w:r>
        <w:rPr>
          <w:i/>
          <w:iCs/>
          <w:color w:val="6B7280"/>
          <w:sz w:val="18"/>
          <w:szCs w:val="18"/>
        </w:rPr>
        <w:t xml:space="preserve">▸ Figuras complementarias en Anexo Figuras: Fig. 6.5 (matrices de transición), Fig. 6.6c (red de transiciones Markovianas escala M).</w:t>
      </w:r>
    </w:p>
    <w:p w14:paraId="0B005EFC" w14:textId="77777777" w:rsidR="0087342B" w:rsidRDefault="00000000">
      <w:pPr>
        <w:pStyle w:val="Ttulo2"/>
      </w:pPr>
      <w:r>
        <w:t>6.6  Trayectorias nocturnas: fenotipos dinámicos globales  (NB05, Sección 6)</w:t>
      </w:r>
    </w:p>
    <w:p>
      <w:pPr>
        <w:spacing w:after="140" w:line="280" w:lineRule="auto"/>
        <w:jc w:val="both"/>
      </w:pPr>
      <w:r>
        <w:rPr>
          <w:sz w:val="20"/>
          <w:szCs w:val="20"/>
        </w:rPr>
        <w:t xml:space="preserve">NB05 (Sección 6) identifica tres fenotipos de trayectoria nocturna mediante K-means (K = 3) sobre un vector de 7 features multiescala. La Tabla 6.5 presenta los perfiles resultantes y el hallazgo central: el fenotipo Carga Hipóxica Alta (CHA) aparece exclusivamente en pacientes con severidad AASM Moderada, evidenciando discordancia entre índice de frecuencia y fenotipo dinámico. Un paciente AASM Moderado con fenotipo CHA presenta un perfil de riesgo nocturno cualitativamente diferente al de otro con el mismo ODI3 pero fenotipo Estable-Protector: la carga hipóxica no reside en la frecuencia de eventos sino en la dominancia sostenida del estado M1, un matiz que el conteo de eventos no refleja.</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511 noches, 8 pacientes. Origen: NB05, Sección 6.</w:t>
      </w:r>
    </w:p>
    <w:p w14:paraId="2F100002" w14:textId="77777777" w:rsidR="0087342B" w:rsidRDefault="00000000">
      <w:pPr>
        <w:spacing w:after="140" w:line="280" w:lineRule="auto"/>
        <w:jc w:val="both"/>
      </w:pPr>
      <w:r>
        <w:t xml:space="preserve">Los análisis precedentes (§6.2–6.6) caracterizan la estructura fisiológica de la noche en términos de acoplamiento, resiliencia, dinámica Markoviana y trayectorias globales. Las secciones siguientes evalúan si esa estructura contiene información predictiva explotable: primero cuantificando la importancia relativa de las features PAC mediante ablación (§6.7), luego estimando la probabilidad de eventos severos individuales (§6.8) y del riesgo nocturno global (§6.9), y finalmente integrando ambos niveles en el Risk Score PAC (§6.10).</w:t>
      </w:r>
    </w:p>
    <w:p w14:paraId="769C1929" w14:textId="77777777" w:rsidR="0087342B" w:rsidRDefault="00000000">
      <w:pPr>
        <w:pStyle w:val="Ttulo2"/>
      </w:pPr>
      <w:r>
        <w:t>6.7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6406884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6.7.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D1E9326" w14:textId="77777777" w:rsidR="0087342B" w:rsidRDefault="00000000">
      <w:pPr>
        <w:pStyle w:val="Ttulo2"/>
      </w:pPr>
      <w:r>
        <w:t>6.8  Modelo predictivo a nivel de evento  (NB07, Bloque B)</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267264428"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6.8.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lastRenderedPageBreak/>
        <w:t>recent_morph_mean (1.283), ci_so_far (1.169), state_s_enc (874) y frac_path_m_30ev (872). El riesgo de un evento severo se lee como acumulación progresiva de deterioro dentro de la noche: la historia importa tanto como el estado presente.</w:t>
      </w:r>
    </w:p>
    <w:p>
      <w:pPr>
        <w:pStyle w:val="Normal"/>
        <w:spacing w:after="160" w:line="276" w:lineRule="auto"/>
        <w:jc w:val="both"/>
      </w:pPr>
      <w:r>
        <w:rPr>
          <w:rFonts w:ascii="Arial" w:cs="Arial" w:eastAsia="Arial" w:hAnsi="Arial"/>
          <w:sz w:val="22"/>
          <w:szCs w:val="22"/>
        </w:rPr>
        <w:t xml:space="preserve">La prominencia del contexto acumulado sobre la morfología individual tiene una implicación interpretativa importante que emerge de la interacción entre el modelo y el fenómeno de fragmentación de eventos (§4.2.4). Cuando un episodio de hipoxemia prolongado es dividido por el algoritmo de detección en múltiples eventos cortos consecutivos, todos esos fragmentos comparten prácticamente el mismo estado PAC activo: el contexto fisiológico —estado M patológico, historial de caídas recientes, SpO₂ basal descendida— no cambia entre eventos separados por menos de 90 s. En consecuencia, el modelo asigna una P(severo) alta a cada fragmento aunque su morfotipo individual sea C1 o C2 por la baseline local ya descendida. Esto no constituye un error del modelo: el estado fisiológico está genuinamente comprometido durante todo el período, y el sistema detecta correctamente esa condición. La implicación práctica es que un </w:t>
      </w:r>
      <w:r>
        <w:rPr>
          <w:rFonts w:ascii="Arial" w:cs="Arial" w:eastAsia="Arial" w:hAnsi="Arial"/>
          <w:b/>
          <w:bCs/>
          <w:sz w:val="22"/>
          <w:szCs w:val="22"/>
        </w:rPr>
        <w:t>clúster denso de probabilidades altas en morfotipos leves</w:t>
      </w:r>
      <w:r>
        <w:rPr>
          <w:rFonts w:ascii="Arial" w:cs="Arial" w:eastAsia="Arial" w:hAnsi="Arial"/>
          <w:sz w:val="22"/>
          <w:szCs w:val="22"/>
        </w:rPr>
        <w:t xml:space="preserve"> es la firma predictiva de un episodio prolongado fragmentado, más que la señal de múltiples eventos independientes con riesgo contextual oculto. La </w:t>
      </w:r>
      <w:r>
        <w:rPr>
          <w:rFonts w:ascii="Arial" w:cs="Arial" w:eastAsia="Arial" w:hAnsi="Arial"/>
          <w:i/>
          <w:iCs/>
          <w:sz w:val="22"/>
          <w:szCs w:val="22"/>
        </w:rPr>
        <w:t>hypoxic burden</w:t>
      </w:r>
      <w:r>
        <w:rPr>
          <w:rFonts w:ascii="Arial" w:cs="Arial" w:eastAsia="Arial" w:hAnsi="Arial"/>
          <w:sz w:val="22"/>
          <w:szCs w:val="22"/>
        </w:rPr>
        <w:t xml:space="preserve"> del período es más informativa que el conteo de eventos para cuantificar la carga real de esa ventana temporal. Esta distinción se refleja en la interfaz de visualización, donde el gráfico P(severo) de la aplicación permite identificar visualmente estos clústeres y el texto interpretativo automático alerta al especialista cuando el patrón es consistente con fragmentación (Cap07, §7.4.2).</w:t>
      </w:r>
    </w:p>
    <w:p w14:paraId="5AC8023C" w14:textId="77777777" w:rsidR="0087342B" w:rsidRDefault="00000000">
      <w:pPr>
        <w:pStyle w:val="Ttulo2"/>
      </w:pPr>
      <w:r>
        <w:t>6.9  Modelo predictivo a nivel de noche  (NB07, Bloque C)</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0,649.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1163018275"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6.9. </w:t>
      </w:r>
      <w:r>
        <w:rPr>
          <w:i/>
          <w:iCs/>
          <w:sz w:val="20"/>
          <w:szCs w:val="20"/>
        </w:rPr>
        <w:t>Curvas ROC y Precision-Recall para la clasificación nocturna binaria (LOPO-CV, NB07 Bloque C). Logística (azul): AUC = 0,874, AP = 0,764. Random Forest (rojo): AUC = 0,815, AP = 0,649.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6.10  Risk Score PAC: integración evento–noche  (NB07, Bloque D)</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§6.12.</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1248766157"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6.10.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44A1728F" w14:textId="77777777" w:rsidR="0087342B" w:rsidRDefault="00000000">
      <w:pPr>
        <w:pStyle w:val="Ttulo2"/>
      </w:pPr>
      <w:r>
        <w:t>6.11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lastRenderedPageBreak/>
        <w:t>patológicos, con qué frecuencia el organismo se recupera de ellos, qué trayectoria sigue la noche y qué nivel de vulnerabilidad fisiológica acumulada puede estimarse una vez completada.</w:t>
      </w:r>
    </w:p>
    <w:p w14:paraId="2F100003" w14:textId="77777777" w:rsidR="0087342B" w:rsidRDefault="00000000">
      <w:pPr>
        <w:spacing w:after="140" w:line="280" w:lineRule="auto"/>
        <w:jc w:val="both"/>
      </w:pPr>
      <w:r>
        <w:t xml:space="preserve">Esta dimensión dinámica tiene valor clínico concreto en tres escenarios que los índices de frecuencia no capturan: el fenotipado post-diagnóstico —donde dos pacientes con el mismo ODI3 pueden presentar arquitecturas nocturnas radicalmente distintas, como evidenció el fenotipo Carga Hipóxica Alta en §6.6—; el seguimiento longitudinal de respuesta a tratamiento, donde los cambios en la dinámica de estados serían detectables antes de que se reflejen en el promedio de eventos; y la detección de noches con riesgo oculto, donde la severidad dinámica —capturada por el coupling index y la trayectoria— supera lo que el conteo de morfotipos sugiere. Estos escenarios se operacionalizan en la interfaz de la PAC App (Cap07) y en el sistema de predicción prospectiva (Cap08).</w:t>
      </w:r>
    </w:p>
    <w:p w14:paraId="5F5A1C00" w14:textId="77777777" w:rsidR="0087342B" w:rsidRDefault="00000000">
      <w:pPr>
        <w:pStyle w:val="Ttulo2"/>
      </w:pPr>
      <w:r>
        <w:t>6.12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w:t>
      </w:r>
    </w:p>
    <w:p w14:paraId="2F100004" w14:textId="77777777" w:rsidR="0087342B" w:rsidRDefault="00000000">
      <w:pPr>
        <w:spacing w:after="140" w:line="280" w:lineRule="auto"/>
        <w:jc w:val="both"/>
      </w:pPr>
      <w:r>
        <w:t xml:space="preserve">El Risk Score PAC no es aún una herramienta clínica validada: su uso en contexto asistencial real requeriría evaluar calibración externa, reproducibilidad, asociación con outcomes clínicos y utilidad incremental frente a índices establecidos. Este proceso excede el alcance de un prototipo de investigación y constituye la línea de trabajo futuro prioritaria del proyecto.</w:t>
      </w:r>
    </w:p>
    <w:p w14:paraId="7807ADFA" w14:textId="77777777" w:rsidR="0087342B" w:rsidRDefault="00000000">
      <w:pPr>
        <w:pStyle w:val="Ttulo2"/>
      </w:pPr>
      <w:r>
        <w:t>6.13  Conclusión</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sectPr w:rsidR="0087342B">
      <w:headerReference w:type="default" r:id="rId32"/>
      <w:footerReference w:type="default" r:id="rId3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72161" w14:textId="77777777" w:rsidR="000D6075" w:rsidRDefault="000D6075">
      <w:r>
        <w:separator/>
      </w:r>
    </w:p>
  </w:endnote>
  <w:endnote w:type="continuationSeparator" w:id="0">
    <w:p w14:paraId="598670BC" w14:textId="77777777" w:rsidR="000D6075" w:rsidRDefault="000D6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220F" w14:textId="77777777" w:rsidR="0087342B"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6607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93120" w14:textId="77777777" w:rsidR="000D6075" w:rsidRDefault="000D6075">
      <w:r>
        <w:separator/>
      </w:r>
    </w:p>
  </w:footnote>
  <w:footnote w:type="continuationSeparator" w:id="0">
    <w:p w14:paraId="49145B90" w14:textId="77777777" w:rsidR="000D6075" w:rsidRDefault="000D6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DD82" w14:textId="77777777" w:rsidR="0087342B"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6 — Modelado predictivo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012BB"/>
    <w:multiLevelType w:val="hybridMultilevel"/>
    <w:tmpl w:val="AC781FF8"/>
    <w:lvl w:ilvl="0" w:tplc="B24E0E34">
      <w:start w:val="1"/>
      <w:numFmt w:val="bullet"/>
      <w:lvlText w:val="●"/>
      <w:lvlJc w:val="left"/>
      <w:pPr>
        <w:ind w:left="720" w:hanging="360"/>
      </w:pPr>
    </w:lvl>
    <w:lvl w:ilvl="1" w:tplc="56F41FB4">
      <w:start w:val="1"/>
      <w:numFmt w:val="bullet"/>
      <w:lvlText w:val="○"/>
      <w:lvlJc w:val="left"/>
      <w:pPr>
        <w:ind w:left="1440" w:hanging="360"/>
      </w:pPr>
    </w:lvl>
    <w:lvl w:ilvl="2" w:tplc="7E96BE02">
      <w:start w:val="1"/>
      <w:numFmt w:val="bullet"/>
      <w:lvlText w:val="■"/>
      <w:lvlJc w:val="left"/>
      <w:pPr>
        <w:ind w:left="2160" w:hanging="360"/>
      </w:pPr>
    </w:lvl>
    <w:lvl w:ilvl="3" w:tplc="C578433A">
      <w:start w:val="1"/>
      <w:numFmt w:val="bullet"/>
      <w:lvlText w:val="●"/>
      <w:lvlJc w:val="left"/>
      <w:pPr>
        <w:ind w:left="2880" w:hanging="360"/>
      </w:pPr>
    </w:lvl>
    <w:lvl w:ilvl="4" w:tplc="84CE7818">
      <w:start w:val="1"/>
      <w:numFmt w:val="bullet"/>
      <w:lvlText w:val="○"/>
      <w:lvlJc w:val="left"/>
      <w:pPr>
        <w:ind w:left="3600" w:hanging="360"/>
      </w:pPr>
    </w:lvl>
    <w:lvl w:ilvl="5" w:tplc="8E38A4AE">
      <w:start w:val="1"/>
      <w:numFmt w:val="bullet"/>
      <w:lvlText w:val="■"/>
      <w:lvlJc w:val="left"/>
      <w:pPr>
        <w:ind w:left="4320" w:hanging="360"/>
      </w:pPr>
    </w:lvl>
    <w:lvl w:ilvl="6" w:tplc="11621916">
      <w:start w:val="1"/>
      <w:numFmt w:val="bullet"/>
      <w:lvlText w:val="●"/>
      <w:lvlJc w:val="left"/>
      <w:pPr>
        <w:ind w:left="5040" w:hanging="360"/>
      </w:pPr>
    </w:lvl>
    <w:lvl w:ilvl="7" w:tplc="B0D21CA8">
      <w:start w:val="1"/>
      <w:numFmt w:val="bullet"/>
      <w:lvlText w:val="●"/>
      <w:lvlJc w:val="left"/>
      <w:pPr>
        <w:ind w:left="5760" w:hanging="360"/>
      </w:pPr>
    </w:lvl>
    <w:lvl w:ilvl="8" w:tplc="B142A520">
      <w:start w:val="1"/>
      <w:numFmt w:val="bullet"/>
      <w:lvlText w:val="●"/>
      <w:lvlJc w:val="left"/>
      <w:pPr>
        <w:ind w:left="6480" w:hanging="360"/>
      </w:pPr>
    </w:lvl>
  </w:abstractNum>
  <w:num w:numId="1" w16cid:durableId="1075081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42B"/>
    <w:rsid w:val="000B4FE3"/>
    <w:rsid w:val="000D6075"/>
    <w:rsid w:val="0087342B"/>
    <w:rsid w:val="00A660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85D10BE"/>
  <w15:docId w15:val="{0A9BA9C1-4D06-0543-9C92-5CDEC8951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40"/>
      <w:outlineLvl w:val="1"/>
    </w:pPr>
    <w:rPr>
      <w:b/>
      <w:bCs/>
      <w:color w:val="1E3A5F"/>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 Id="rId36"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7788</Words>
  <Characters>41983</Characters>
  <Application>Microsoft Office Word</Application>
  <DocSecurity>0</DocSecurity>
  <Lines>912</Lines>
  <Paragraphs>444</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2026-05-27T17:38:00Z</dcterms:created>
  <dcterms:modified xsi:type="dcterms:W3CDTF">2026-05-27T17:49:00Z</dcterms:modified>
</cp:coreProperties>
</file>