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21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completa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Desde una perspectiva de modelado, esta independencia justifica el uso combinado de ambas métricas en los modelos predictivos de §6.8–6.9 sin riesgo de multicolinealidad entre escalas.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2F100001" w14:textId="77777777" w:rsidR="0087342B" w:rsidRDefault="00000000">
      <w:pPr>
        <w:spacing w:after="140" w:line="280" w:lineRule="auto"/>
        <w:jc w:val="both"/>
      </w:pPr>
      <w:r>
        <w:t xml:space="preserve">El colapso casi total a escala L —donde menos del 2 % de los eventos severos van seguidos de recuperación al estado protector dentro de los 30 minutos siguientes— sugiere que, una vez que el sistema fisiológico ingresa en un régimen de alta carga hipóxica sostenida, la recuperación espontánea a escala de la arquitectura nocturna global es excepcional en esta cohorte. Este resultado es consistente con la dinámica Markoviana de §6.5: la inercia del estado M1 —cuya probabilidad de autotransición es la más alta del sistema— es el principal correlato estructural de esa persistencia patológica.</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El corredor M3→M1 en escala M es el más pronunciado del sistema: conduce sistemáticamente al estado de mayor riesgo —M1, con RR = 3,29 sobre eventos severos (§6.2)— y representa la ruta preferencial de deterioro fisiológico a escala intermedia.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no reside en la frecuencia de eventos sino en la dominancia sostenida del estado M1, un matiz que el conteo de eventos no refleja.</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2F100002" w14:textId="77777777" w:rsidR="0087342B" w:rsidRDefault="00000000">
      <w:pPr>
        <w:spacing w:after="140" w:line="280" w:lineRule="auto"/>
        <w:jc w:val="both"/>
      </w:pPr>
      <w:r>
        <w:t xml:space="preserve">Los análisis precedentes (§6.2–6.6) caracterizan la estructura fisiológica de la noche en términos de acoplamiento, resiliencia, dinámica Markoviana y trayectorias globales. Las secciones siguientes evalúan si esa estructura contiene información predictiva explotable: primero cuantificando la importancia relativa de las features PAC mediante ablación (§6.7), luego estimando la probabilidad de eventos severos individuales (§6.8) y del riesgo nocturno global (§6.9), y finalmente integrando ambos niveles en el Risk Score PAC (§6.10).</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6.7.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6.8.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pPr>
        <w:pStyle w:val="Normal"/>
        <w:spacing w:after="160" w:line="276" w:lineRule="auto"/>
        <w:jc w:val="both"/>
      </w:pPr>
      <w:r>
        <w:rPr>
          <w:rFonts w:ascii="Arial" w:cs="Arial" w:eastAsia="Arial" w:hAnsi="Arial"/>
          <w:sz w:val="22"/>
          <w:szCs w:val="22"/>
        </w:rP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y el sistema detecta correctamente esa condición. La implicación práctica es que un </w:t>
      </w:r>
      <w:r>
        <w:rPr>
          <w:rFonts w:ascii="Arial" w:cs="Arial" w:eastAsia="Arial" w:hAnsi="Arial"/>
          <w:b/>
          <w:bCs/>
          <w:sz w:val="22"/>
          <w:szCs w:val="22"/>
        </w:rPr>
        <w:t>clúster denso de probabilidades altas en morfotipos leves</w:t>
      </w:r>
      <w:r>
        <w:rPr>
          <w:rFonts w:ascii="Arial" w:cs="Arial" w:eastAsia="Arial" w:hAnsi="Arial"/>
          <w:sz w:val="22"/>
          <w:szCs w:val="22"/>
        </w:rPr>
        <w:t xml:space="preserve"> es la firma predictiva de un episodio prolongado fragmentado, más que la señal de múltiples eventos independientes con riesgo contextual oculto.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de esa ventana temporal. Esta distinción se refleja en la interfaz de visualización, donde el gráfico P(severo) de la aplicación permite identificar visualmente estos clústeres y el texto interpretativo automático alerta al especialista cuando el patrón es consistente con fragmentación (Cap07,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6.9. </w:t>
      </w:r>
      <w:r>
        <w:rPr>
          <w:i/>
          <w:iCs/>
          <w:sz w:val="20"/>
          <w:szCs w:val="20"/>
        </w:rPr>
        <w:t>Curvas ROC y Precision-Recall para la clasificación nocturna binaria (LOPO-CV, NB07 Bloque C). Logística (azul): AUC = 0,874, AP = 0,764. Random Forest (rojo): AUC = 0,815, AP = 0,649.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6.10.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2F100003" w14:textId="77777777" w:rsidR="0087342B" w:rsidRDefault="00000000">
      <w:pPr>
        <w:spacing w:after="140" w:line="280" w:lineRule="auto"/>
        <w:jc w:val="both"/>
      </w:pPr>
      <w:r>
        <w:t xml:space="preserve">Esta dimensión dinámica tiene valor clínico concreto en tres escenarios que los índices de frecuencia no capturan: el fenotipado post-diagnóstico —donde dos pacientes con el mismo ODI3 pueden presentar arquitecturas nocturnas radicalmente distintas, como evidenció el fenotipo Carga Hipóxica Alta en §6.6—; el seguimiento longitudinal de respuesta a tratamiento, donde los cambios en la dinámica de estados serían detectables antes de que se reflejen en el promedio de eventos; y la detección de noches con riesgo oculto, donde la severidad dinámica —capturada por el coupling index y la trayectoria— supera lo que el conteo de morfotipos sugiere. Estos escenarios se operacionalizan en la interfaz de la PAC App (Cap07) y en el sistema de predicción prospectiva (Cap08).</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w:t>
      </w:r>
    </w:p>
    <w:p w14:paraId="2F100004" w14:textId="77777777" w:rsidR="0087342B" w:rsidRDefault="00000000">
      <w:pPr>
        <w:spacing w:after="140" w:line="280" w:lineRule="auto"/>
        <w:jc w:val="both"/>
      </w:pPr>
      <w:r>
        <w:t xml:space="preserve">El Risk Score PAC no es aún una herramienta clínica validada: su uso en contexto asistencial real requeriría evaluar calibración externa, reproducibilidad, asociación con outcomes clínicos y utilidad incremental frente a índices establecidos. Este proceso excede el alcance de un prototipo de investigación y constituye la línea de trabajo futuro prioritaria del proyecto.</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