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rFonts w:ascii="Arial" w:cs="Arial" w:eastAsia="Arial" w:hAnsi="Arial"/>
          <w:b/>
          <w:bCs/>
          <w:color w:val="1E3A5F"/>
          <w:sz w:val="48"/>
          <w:szCs w:val="48"/>
        </w:rPr>
        <w:t xml:space="preserve">CAPÍTULO 6</w:t>
      </w:r>
    </w:p>
    <w:p>
      <w:pPr>
        <w:spacing w:after="120"/>
      </w:pPr>
      <w:r>
        <w:rPr>
          <w:rFonts w:ascii="Arial" w:cs="Arial" w:eastAsia="Arial" w:hAnsi="Arial"/>
          <w:b/>
          <w:bCs/>
          <w:sz w:val="32"/>
          <w:szCs w:val="32"/>
        </w:rPr>
        <w:t xml:space="preserve">Modelado predictivo basado en PAC: acoplamiento evento–estado, severidad y riesgo fisiológico nocturno</w:t>
      </w:r>
    </w:p>
    <w:p>
      <w:pPr>
        <w:spacing w:after="400"/>
      </w:pPr>
      <w:r>
        <w:rPr>
          <w:rFonts w:ascii="Arial" w:cs="Arial" w:eastAsia="Arial" w:hAnsi="Arial"/>
          <w:i/>
          <w:iCs/>
          <w:color w:val="666666"/>
          <w:sz w:val="22"/>
          <w:szCs w:val="22"/>
        </w:rPr>
        <w:t xml:space="preserve">Versión 3  ·  Mayo 2026</w:t>
      </w:r>
    </w:p>
    <w:p>
      <w:pPr>
        <w:pStyle w:val="Heading2"/>
        <w:spacing w:after="140" w:before="300"/>
      </w:pPr>
      <w:r>
        <w:rPr>
          <w:rFonts w:ascii="Arial" w:cs="Arial" w:eastAsia="Arial" w:hAnsi="Arial"/>
          <w:b/>
          <w:bCs/>
          <w:color w:val="1E3A5F"/>
          <w:sz w:val="26"/>
          <w:szCs w:val="26"/>
        </w:rPr>
        <w:t xml:space="preserve">6.1  Introducción</w:t>
      </w:r>
    </w:p>
    <w:p>
      <w:pPr>
        <w:spacing w:after="140" w:line="280"/>
        <w:jc w:val="both"/>
      </w:pPr>
      <w:r>
        <w:rPr>
          <w:rFonts w:ascii="Arial" w:cs="Arial" w:eastAsia="Arial" w:hAnsi="Arial"/>
          <w:sz w:val="22"/>
          <w:szCs w:val="22"/>
        </w:rPr>
        <w:t xml:space="preserve">Este capítulo integra los resultados de tres notebooks del pipeline PAC_v2. NB05 (sección §6.3–6.7) analiza el acoplamiento entre eventos de desaturación de oxígeno (EDOs) y estados PAC, construye el coupling index nocturno y clasifica las trayectorias fisiológicas nocturnas en tres fenotipos dinámicos. NB06 (sección §6.8) cuantifica, mediante un experimento de ablación con validación leave-one-patient-out (LOPO-CV), la contribución predictiva relativa de los distintos grupos de features —con especial énfasis en los PAC States como familia predictora dominante—. NB07 (secciones §6.9–6.12) construye dos módulos complementarios: un modelo de predicción a nivel de evento individual (Bloque B) y un clasificador binario de riesgo nocturno (Bloque C), cuyos outputs se integran en un índice continuo de vulnerabilidad fisiológica (Bloque D: Risk Score PAC, escala 0–100).</w:t>
      </w:r>
    </w:p>
    <w:p>
      <w:pPr>
        <w:spacing w:after="140" w:line="280"/>
        <w:jc w:val="both"/>
      </w:pPr>
      <w:r>
        <w:rPr>
          <w:rFonts w:ascii="Arial" w:cs="Arial" w:eastAsia="Arial" w:hAnsi="Arial"/>
          <w:sz w:val="22"/>
          <w:szCs w:val="22"/>
        </w:rPr>
        <w:t xml:space="preserve">El capítulo anterior (§5.6) estableció que las tres escalas del sistema PAC States capturarían dimensiones fisiológicas distintas de la noche: la escala S como espejo de la microdinámica evento a evento, la escala M como proxy de la acumulación hipóxica sostenida y la escala L como descriptor de la tendencia arquitectural global. El presente capítulo desplaza el eje desde la caracterización descriptiva hacia la pregunta predictiva: ¿contienen esas representaciones información suficiente para anticipar la severidad de un evento, estratificar el riesgo de una noche y construir un índice fisiológico continuo de vulnerabilidad?</w:t>
      </w:r>
    </w:p>
    <w:p>
      <w:pPr>
        <w:spacing w:after="140" w:line="280"/>
        <w:jc w:val="both"/>
      </w:pPr>
      <w:r>
        <w:rPr>
          <w:rFonts w:ascii="Arial" w:cs="Arial" w:eastAsia="Arial" w:hAnsi="Arial"/>
          <w:sz w:val="22"/>
          <w:szCs w:val="22"/>
        </w:rPr>
        <w:t xml:space="preserve">La hipótesis de trabajo es que la severidad de un evento de desaturación nocturna no depende únicamente de sus propiedades morfológicas internas, sino también del contexto dinámico en que ocurre. Del mismo modo, el riesgo de una noche no se agota en su conteo de eventos: depende de la arquitectura temporal de esos eventos, de la forma en que se organizan respecto a los estados fisiológicos y de la capacidad que muestra el organismo para recuperarse de ellos. El modelado predictivo PAC busca cuantificar esa dimensión contextual y dinámica, complementando los índices clásicos sin pretender reemplazarlos.</w:t>
      </w:r>
    </w:p>
    <w:p>
      <w:pPr>
        <w:spacing w:after="140" w:line="280"/>
        <w:jc w:val="both"/>
      </w:pPr>
      <w:r>
        <w:rPr>
          <w:rFonts w:ascii="Arial" w:cs="Arial" w:eastAsia="Arial" w:hAnsi="Arial"/>
          <w:sz w:val="22"/>
          <w:szCs w:val="22"/>
        </w:rPr>
        <w:t xml:space="preserve">La estructura del capítulo es la siguiente. Las secciones §6.3–6.7 presentan el análisis de acoplamiento (NB05), desde la distribución condicional de morfotipos en estados PAC hasta los fenotipos de trayectoria nocturna. La sección §6.8 cuantifica el valor predictivo de cada grupo de variables mediante ablación LOPO-CV (NB06). Las secciones §6.9–6.11 presentan los modelos predictivos a nivel de evento y de noche (NB07). La sección §6.12 integra estos componentes en el Risk Score PAC.</w:t>
      </w:r>
    </w:p>
    <w:p>
      <w:pPr>
        <w:pStyle w:val="Heading2"/>
        <w:spacing w:after="140" w:before="300"/>
      </w:pPr>
      <w:r>
        <w:rPr>
          <w:rFonts w:ascii="Arial" w:cs="Arial" w:eastAsia="Arial" w:hAnsi="Arial"/>
          <w:b/>
          <w:bCs/>
          <w:color w:val="1E3A5F"/>
          <w:sz w:val="26"/>
          <w:szCs w:val="26"/>
        </w:rPr>
        <w:t xml:space="preserve">6.2  Datos, cohorte y diseño analítico</w:t>
      </w:r>
    </w:p>
    <w:p>
      <w:pPr>
        <w:spacing w:after="140" w:line="280"/>
        <w:jc w:val="both"/>
      </w:pPr>
      <w:r>
        <w:rPr>
          <w:rFonts w:ascii="Arial" w:cs="Arial" w:eastAsia="Arial" w:hAnsi="Arial"/>
          <w:sz w:val="22"/>
          <w:szCs w:val="22"/>
        </w:rPr>
        <w:t xml:space="preserve">El análisis predictivo se desarrolló sobre la cohorte estricta del proyecto PAC, definida como los pacientes con al menos diez noches clasificadas como in_strict en el pipeline Silver. Esta selección resultó en ocho pacientes, 540 noches válidas y 78.908 eventos de desaturación totales (cohorte NB07). Para el modelo de predicción de evento, los primeros cinco EDOs de cada noche se excluyen por carecer de historia acumulada suficiente, lo que reduce el corpus a 76.053 eventos con contexto disponible (NB07, Bloque A). Los análisis de acoplamiento de NB05 se realizaron sobre los 12 pacientes de la cohorte in_strict (80.353 eventos, 560 noches), dado que el análisis descriptivo-correlacional no requiere la restricción de ocho pacientes. La decisión de usar la cohorte estricta exclusivamente para los modelos supervisados responde a que el esquema LOPO-CV exige que cada paciente aporte un número de noches suficiente para que la evaluación sobre el fold excluido sea interpretable.</w:t>
      </w:r>
    </w:p>
    <w:p>
      <w:pPr>
        <w:spacing w:after="140" w:line="280"/>
        <w:jc w:val="both"/>
      </w:pPr>
      <w:r>
        <w:rPr>
          <w:rFonts w:ascii="Arial" w:cs="Arial" w:eastAsia="Arial" w:hAnsi="Arial"/>
          <w:sz w:val="22"/>
          <w:szCs w:val="22"/>
        </w:rPr>
        <w:t xml:space="preserve">El esquema LOPO-CV implica entrenar el modelo sobre las noches de siete pacientes y evaluar sobre las noches del octavo, rotando el paciente excluido en cada fold. El n efectivo de validación es, por tanto, ocho —un resultado por fold—, no 540. Las noches de un mismo paciente no constituyen observaciones independientes: comparten la fisiología individual, el dispositivo y el protocolo. Reportar métricas como si los 540 puntos fueran independientes sobreestimaría el rendimiento real (Wasserstein &amp; Lazar, 2016). A lo largo del capítulo, la varianza entre folds se reporta como media ± desviación estándar de los ocho valores de fold.</w:t>
      </w:r>
    </w:p>
    <w:p>
      <w:pPr>
        <w:spacing w:after="140" w:line="280"/>
        <w:jc w:val="both"/>
      </w:pPr>
      <w:r>
        <w:rPr>
          <w:rFonts w:ascii="Arial" w:cs="Arial" w:eastAsia="Arial" w:hAnsi="Arial"/>
          <w:sz w:val="22"/>
          <w:szCs w:val="22"/>
        </w:rPr>
        <w:t xml:space="preserve">La Tabla 6.1 sintetiza los componentes del diseño predictivo del capítulo.</w:t>
      </w:r>
    </w:p>
    <w:p>
      <w:pPr>
        <w:spacing w:after="80" w:before="280"/>
      </w:pPr>
      <w:r>
        <w:rPr>
          <w:rFonts w:ascii="Arial" w:cs="Arial" w:eastAsia="Arial" w:hAnsi="Arial"/>
          <w:b/>
          <w:bCs/>
          <w:color w:val="1E3A5F"/>
          <w:sz w:val="20"/>
          <w:szCs w:val="20"/>
        </w:rPr>
        <w:t xml:space="preserve">Tabla 6.1. Resumen del diseño predictivo del Capítulo 6.</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000"/>
        <w:gridCol w:w="2200"/>
        <w:gridCol w:w="2066"/>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Nivel</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Tarea predictiva</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NB</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Modelo</w:t>
            </w:r>
          </w:p>
        </w:tc>
        <w:tc>
          <w:tcPr>
            <w:tcW w:type="dxa" w:w="20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Cohorte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Evento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Clasificación evento severo C4/C5 (lead time ~5 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LightGBM vs. LR basal</w:t>
            </w:r>
          </w:p>
        </w:tc>
        <w:tc>
          <w:tcPr>
            <w:tcW w:type="dxa" w:w="2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8 pac., 76.053 ev.</w:t>
            </w:r>
          </w:p>
        </w:tc>
      </w:tr>
      <w:tr>
        <w:tc>
          <w:tcPr>
            <w:tcW w:type="dxa" w:w="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Noche</w:t>
            </w:r>
          </w:p>
        </w:tc>
        <w:tc>
          <w:tcPr>
            <w:tcW w:type="dxa" w:w="2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Clasificación binaria Normal+Leve vs. Mod.+Sev.</w:t>
            </w:r>
          </w:p>
        </w:tc>
        <w:tc>
          <w:tcPr>
            <w:tcW w:type="dxa" w:w="1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C</w:t>
            </w:r>
          </w:p>
        </w:tc>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Regresión logística vs. RF</w:t>
            </w:r>
          </w:p>
        </w:tc>
        <w:tc>
          <w:tcPr>
            <w:tcW w:type="dxa" w:w="20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8 pac., 494 noches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Noche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Clasificación multiclase AASM — ablación features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NB06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Random Forest</w:t>
            </w:r>
          </w:p>
        </w:tc>
        <w:tc>
          <w:tcPr>
            <w:tcW w:type="dxa" w:w="2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8 pac., 540 noches</w:t>
            </w:r>
          </w:p>
        </w:tc>
      </w:tr>
      <w:tr>
        <w:tc>
          <w:tcPr>
            <w:tcW w:type="dxa" w:w="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Integración</w:t>
            </w:r>
          </w:p>
        </w:tc>
        <w:tc>
          <w:tcPr>
            <w:tcW w:type="dxa" w:w="2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Índice de riesgo nocturno Risk Score 0–100</w:t>
            </w:r>
          </w:p>
        </w:tc>
        <w:tc>
          <w:tcPr>
            <w:tcW w:type="dxa" w:w="1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D</w:t>
            </w:r>
          </w:p>
        </w:tc>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Combinación ponderada</w:t>
            </w:r>
          </w:p>
        </w:tc>
        <w:tc>
          <w:tcPr>
            <w:tcW w:type="dxa" w:w="20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Cohorte estricta</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LOPO-CV = leave-one-patient-out cross-validation. El n efectivo de validación es 8 pacientes. Los análisis de NB05 se realizan sobre los 12 pacientes de la cohorte in_strict (80.353 eventos, 560 noches). El modelo nocturno usa 494 noches de las 540 tras descartar noches con features faltantes.</w:t>
      </w:r>
    </w:p>
    <w:p>
      <w:pPr>
        <w:pStyle w:val="Heading2"/>
        <w:spacing w:after="140" w:before="300"/>
      </w:pPr>
      <w:r>
        <w:rPr>
          <w:rFonts w:ascii="Arial" w:cs="Arial" w:eastAsia="Arial" w:hAnsi="Arial"/>
          <w:b/>
          <w:bCs/>
          <w:color w:val="1E3A5F"/>
          <w:sz w:val="26"/>
          <w:szCs w:val="26"/>
        </w:rPr>
        <w:t xml:space="preserve">6.3  Acoplamiento morfotipo–estado PAC  (NB05, Sección 2)</w:t>
      </w:r>
    </w:p>
    <w:p>
      <w:pPr>
        <w:spacing w:after="140" w:line="280"/>
        <w:jc w:val="both"/>
      </w:pPr>
      <w:r>
        <w:rPr>
          <w:rFonts w:ascii="Arial" w:cs="Arial" w:eastAsia="Arial" w:hAnsi="Arial"/>
          <w:sz w:val="22"/>
          <w:szCs w:val="22"/>
        </w:rPr>
        <w:t xml:space="preserve">La primera pregunta que aborda NB05 es distribucional: ¿el estado PAC en que ocurre un evento predice la forma de su curva? El análisis de acoplamiento corresponde a la Sección 2 de NB05, donde se cruza la distribución de morfotipos (C1–C5) con los estados PAC simultáneos en las tres escalas. La asociación se cuantificó mediante V de Cramér sobre la distribución condicional P(morfotipo | estado). Los resultados confirman que la asociación es real en las tres escalas, aunque decrece sistemáticamente al ampliar la ventana temporal: V = 0,354 en escala S (30 s), V = 0,230 en escala M (5 min) y V = 0,196 en escala L (30 min). La disminución es esperable: a 30 segundos el estado PAC captura el microcontexto inmediato del evento; a 30 minutos, la heterogeneidad interna de la ventana borra parte de la señal morfológica. Las letras del vocabulario nocturno llevan carga fisiológica —no son etiquetas arbitrarias—, pero esa carga disminuye al pasar de letras (escala S) a palabras (escala M) y de palabras a párrafos (escala L).</w:t>
      </w:r>
    </w:p>
    <w:p>
      <w:pPr>
        <w:spacing w:after="140" w:line="280"/>
        <w:jc w:val="both"/>
      </w:pPr>
      <w:r>
        <w:rPr>
          <w:rFonts w:ascii="Arial" w:cs="Arial" w:eastAsia="Arial" w:hAnsi="Arial"/>
          <w:sz w:val="22"/>
          <w:szCs w:val="22"/>
        </w:rPr>
        <w:t xml:space="preserve">Un análisis derivado identificó, en cada escala, los estados con tasa de eventos severos (C4+C5) superior a la mediana del sistema —denominados estados patológicos—. En escala S: S2, S4 y S6; en escala M: M1 y M3; en escala L: L0 y L1. Esta identificación es coherente con los perfiles descritos en el Capítulo 5: S4 como mejor predictor de frecuencia de eventos (ρ AHI = +0,691; §5.2), M1 como mejor predictor de carga hipóxica acumulada (ρ T90 = +0,744; §5.3) y L0 como polo de hipoxemia sostenida (ρ T90 = +0,705; §5.4). Los estados patológicos definidos por acumulación de morfotipos severos son los mismos que los identificados por correlación con índices clínicos, lo que aporta validez convergente a la taxonomía.</w:t>
      </w:r>
    </w:p>
    <w:p>
      <w:pPr>
        <w:spacing w:after="140" w:line="280"/>
        <w:jc w:val="both"/>
      </w:pPr>
      <w:r>
        <w:rPr>
          <w:rFonts w:ascii="Arial" w:cs="Arial" w:eastAsia="Arial" w:hAnsi="Arial"/>
          <w:sz w:val="22"/>
          <w:szCs w:val="22"/>
        </w:rPr>
        <w:t xml:space="preserve">La cuantificación del riesgo relativo (RR) por estado revela la magnitud de la asociación. Con una probabilidad marginal de evento severo de 5,73 % (4.602 eventos C4+C5 sobre 80.353 totales), determinados estados multiplican ese riesgo de forma considerable. El estado S6 presenta un RR = 4,9; a escala M, M1 presenta RR = 3,3; a escala L, L0 presenta RR = 2,0. Los valores decrecen con la escala temporal, en paralelo a la disminución de V de Cramér. La Tabla 6.2 sintetiza estos resultados.</w:t>
      </w:r>
    </w:p>
    <w:p>
      <w:pPr>
        <w:spacing w:after="80" w:before="280"/>
      </w:pPr>
      <w:r>
        <w:rPr>
          <w:rFonts w:ascii="Arial" w:cs="Arial" w:eastAsia="Arial" w:hAnsi="Arial"/>
          <w:b/>
          <w:bCs/>
          <w:color w:val="1E3A5F"/>
          <w:sz w:val="20"/>
          <w:szCs w:val="20"/>
        </w:rPr>
        <w:t xml:space="preserve">Tabla 6.2. Riesgo relativo de evento severo según estado PAC patológico.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500"/>
        <w:gridCol w:w="1800"/>
        <w:gridCol w:w="1766"/>
      </w:tblGrid>
      <w:tr>
        <w:trPr>
          <w:tblHeader/>
        </w:trP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Escala</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Estado de mayor riesgo</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P(severo) marginal</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P(severo | estado)</w:t>
            </w:r>
          </w:p>
        </w:tc>
        <w:tc>
          <w:tcPr>
            <w:tcW w:type="dxa" w:w="17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RR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 (30 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5,73 %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28,1 %</w:t>
            </w:r>
          </w:p>
        </w:tc>
        <w:tc>
          <w:tcPr>
            <w:tcW w:type="dxa" w:w="17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4,9×</w:t>
            </w:r>
          </w:p>
        </w:tc>
      </w:tr>
      <w:tr>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 (5 min)</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M1</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5,73 %</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18,9 %</w:t>
            </w:r>
          </w:p>
        </w:tc>
        <w:tc>
          <w:tcPr>
            <w:tcW w:type="dxa" w:w="17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3,3×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 (30 min)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5,73 %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11,5 %</w:t>
            </w:r>
          </w:p>
        </w:tc>
        <w:tc>
          <w:tcPr>
            <w:tcW w:type="dxa" w:w="17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2,0×</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P(severo) marginal = 5,73 % (4.602 eventos C4+C5 / 80.353 totales, 12 pacientes). RR = P(severo | estado) / P(severo) marginal. Origen: NB05, Sección 2.</w:t>
      </w:r>
    </w:p>
    <w:p>
      <w:pPr>
        <w:spacing w:after="0" w:before="120"/>
        <w:jc w:val="center"/>
      </w:pPr>
      <w:r>
        <w:drawing>
          <wp:inline distT="0" distB="0" distL="0" distR="0">
            <wp:extent cx="5238750" cy="1714500"/>
            <wp:effectExtent t="0" r="0" b="0" l="0"/>
            <wp:docPr id="1" name="Distribucion condicional morfotipo estado PAC" descr="Distribucion condicional morfotipo estado PAC" title="Distribucion condicional morfotipo est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1714500"/>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 </w:t>
      </w:r>
      <w:r>
        <w:rPr>
          <w:rFonts w:ascii="Arial" w:cs="Arial" w:eastAsia="Arial" w:hAnsi="Arial"/>
          <w:i/>
          <w:iCs/>
          <w:sz w:val="20"/>
          <w:szCs w:val="20"/>
        </w:rPr>
        <w:t xml:space="preserve">Distribución condicional P(morfotipo | estado PAC) en las tres escalas. Los estados patológicos (S6, M1, L0) concentran una proporción marcadamente superior de morfotipos C4 o C5. V de Cramér: S = 0,354; M = 0,230; L = 0,196.</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2. n = 80.353 eventos, cohorte in_strict (12 pacientes).</w:t>
      </w:r>
    </w:p>
    <w:p>
      <w:pPr>
        <w:spacing w:after="0" w:before="120"/>
        <w:jc w:val="center"/>
      </w:pPr>
      <w:r>
        <w:drawing>
          <wp:inline distT="0" distB="0" distL="0" distR="0">
            <wp:extent cx="5238750" cy="1533525"/>
            <wp:effectExtent t="0" r="0" b="0" l="0"/>
            <wp:docPr id="1" name="Riesgo relativo por estado PAC multiscala" descr="Riesgo relativo por estado PAC multiscala" title="Riesgo relativo por estado PAC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15335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6.2. </w:t>
      </w:r>
      <w:r>
        <w:rPr>
          <w:rFonts w:ascii="Arial" w:cs="Arial" w:eastAsia="Arial" w:hAnsi="Arial"/>
          <w:i/>
          <w:iCs/>
          <w:sz w:val="20"/>
          <w:szCs w:val="20"/>
        </w:rPr>
        <w:t xml:space="preserve">Riesgo relativo (RR) de evento severo por estado PAC en las tres escalas. Los estados patológicos S6, M1 y L0 presentan los RR más elevados. La magnitud del RR decrece con la escala temporal de forma consistente con la disminución de V de Cramér.</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2. P(severo) marginal = 5,73 %. n = 80.353 eventos, 12 pacientes.</w:t>
      </w:r>
    </w:p>
    <w:p>
      <w:pPr>
        <w:pStyle w:val="Heading2"/>
        <w:spacing w:after="140" w:before="300"/>
      </w:pPr>
      <w:r>
        <w:rPr>
          <w:rFonts w:ascii="Arial" w:cs="Arial" w:eastAsia="Arial" w:hAnsi="Arial"/>
          <w:b/>
          <w:bCs/>
          <w:color w:val="1E3A5F"/>
          <w:sz w:val="26"/>
          <w:szCs w:val="26"/>
        </w:rPr>
        <w:t xml:space="preserve">6.4  Coupling Index: cuantificación nocturna del acoplamiento patológico  (NB05, Sección 3)</w:t>
      </w:r>
    </w:p>
    <w:p>
      <w:pPr>
        <w:spacing w:after="140" w:line="280"/>
        <w:jc w:val="both"/>
      </w:pPr>
      <w:r>
        <w:rPr>
          <w:rFonts w:ascii="Arial" w:cs="Arial" w:eastAsia="Arial" w:hAnsi="Arial"/>
          <w:sz w:val="22"/>
          <w:szCs w:val="22"/>
        </w:rPr>
        <w:t xml:space="preserve">A partir de la definición operativa de estados patológicos, NB05 (Sección 3) construye el coupling index (CI) como la fracción de eventos severos de cada noche que ocurrió dentro de un estado patológico. La métrica se calcula en las tres escalas (ci_s, ci_m, ci_l) y produce un valor nocturno continuo por escala. A diferencia de la fracción de eventos severos —que solo cuenta cuántos ocurrieron—, el coupling index pregunta en qué contexto dinámico ocurrieron.</w:t>
      </w:r>
    </w:p>
    <w:p>
      <w:pPr>
        <w:spacing w:after="140" w:line="280"/>
        <w:jc w:val="both"/>
      </w:pPr>
      <w:r>
        <w:rPr>
          <w:rFonts w:ascii="Arial" w:cs="Arial" w:eastAsia="Arial" w:hAnsi="Arial"/>
          <w:sz w:val="22"/>
          <w:szCs w:val="22"/>
        </w:rPr>
        <w:t xml:space="preserve">Un hallazgo relevante es la independencia casi total entre las escalas S y M: la correlación entre ci_s y ci_m es r = 0,056, prácticamente nula. En contraste, ci_m y ci_l muestran una correlación moderada (r = 0,364). Este patrón sugiere que el acoplamiento evento–estado en la microdinámica y en la regulación intermedia son fenómenos sustancialmente no redundantes. La Tabla 6.3 sintetiza la definición operativa del CI.</w:t>
      </w:r>
    </w:p>
    <w:p>
      <w:pPr>
        <w:spacing w:after="80" w:before="280"/>
      </w:pPr>
      <w:r>
        <w:rPr>
          <w:rFonts w:ascii="Arial" w:cs="Arial" w:eastAsia="Arial" w:hAnsi="Arial"/>
          <w:b/>
          <w:bCs/>
          <w:color w:val="1E3A5F"/>
          <w:sz w:val="20"/>
          <w:szCs w:val="20"/>
        </w:rPr>
        <w:t xml:space="preserve">Tabla 6.3. Definición operativa del Coupling Index por escala temporal.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500"/>
        <w:gridCol w:w="2100"/>
        <w:gridCol w:w="2866"/>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Escala</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Ventana</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Estados patológicos</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Correlación cruzada</w:t>
            </w:r>
          </w:p>
        </w:tc>
        <w:tc>
          <w:tcPr>
            <w:tcW w:type="dxa" w:w="28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Interpretación fisiológica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 (30 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30 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S2, S4, S6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Acoplamiento en microdinámica evento a evento</w:t>
            </w:r>
          </w:p>
        </w:tc>
      </w:tr>
      <w:tr>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 (5 min)</w:t>
            </w:r>
          </w:p>
        </w:tc>
        <w:tc>
          <w:tcPr>
            <w:tcW w:type="dxa" w:w="1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5 min</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M1, M3</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r(ci_s, ci_m) = 0,056</w:t>
            </w:r>
          </w:p>
        </w:tc>
        <w:tc>
          <w:tcPr>
            <w:tcW w:type="dxa" w:w="28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Acoplamiento en regulación intermedia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 (30 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30 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L0, L1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r(ci_m, ci_l) = 0,364</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Acoplamiento en arquitectura nocturna global</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3.</w:t>
      </w:r>
    </w:p>
    <w:p>
      <w:pPr>
        <w:spacing w:after="0" w:before="120"/>
        <w:jc w:val="center"/>
      </w:pPr>
      <w:r>
        <w:drawing>
          <wp:inline distT="0" distB="0" distL="0" distR="0">
            <wp:extent cx="5238750" cy="1628775"/>
            <wp:effectExtent t="0" r="0" b="0" l="0"/>
            <wp:docPr id="1" name="Coupling index multiscala por paciente y noche" descr="Coupling index multiscala por paciente y noche" title="Coupling index multiscala por paciente y no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16287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6.3. </w:t>
      </w:r>
      <w:r>
        <w:rPr>
          <w:rFonts w:ascii="Arial" w:cs="Arial" w:eastAsia="Arial" w:hAnsi="Arial"/>
          <w:i/>
          <w:iCs/>
          <w:sz w:val="20"/>
          <w:szCs w:val="20"/>
        </w:rPr>
        <w:t xml:space="preserve">Coupling index (CI) en las tres escalas temporales. Cada punto representa una noche. La independencia entre ci_s y ci_m (r = 0,056) contrasta con la correlación moderada entre ci_m y ci_l (r = 0,364), confirmando que las tres escalas capturan dimensiones no redundantes del riesgo nocturno.</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3. n = 560 noches, cohorte in_strict (12 pacientes).</w:t>
      </w:r>
    </w:p>
    <w:p>
      <w:pPr>
        <w:spacing w:after="140" w:line="280"/>
        <w:jc w:val="both"/>
      </w:pPr>
      <w:r>
        <w:rPr>
          <w:rFonts w:ascii="Arial" w:cs="Arial" w:eastAsia="Arial" w:hAnsi="Arial"/>
          <w:sz w:val="22"/>
          <w:szCs w:val="22"/>
        </w:rPr>
        <w:t xml:space="preserve">La independencia entre ci_s y ci_m tiene implicancias para la interpretación del riesgo nocturno. Hay noches donde el riesgo se expresa localmente en ventanas de segundos, y noches donde la estructura de bloques de cinco minutos condiciona un patrón de eventos severos aunque en momentos puntuales el microestado sea menos extremo. Esta propiedad refuerza la necesidad de representar el riesgo en múltiples escalas temporales simultáneamente: ninguna escala aislada captura la totalidad del fenómeno.</w:t>
      </w:r>
    </w:p>
    <w:p>
      <w:pPr>
        <w:pStyle w:val="Heading2"/>
        <w:spacing w:after="140" w:before="300"/>
      </w:pPr>
      <w:r>
        <w:rPr>
          <w:rFonts w:ascii="Arial" w:cs="Arial" w:eastAsia="Arial" w:hAnsi="Arial"/>
          <w:b/>
          <w:bCs/>
          <w:color w:val="1E3A5F"/>
          <w:sz w:val="26"/>
          <w:szCs w:val="26"/>
        </w:rPr>
        <w:t xml:space="preserve">6.5  Dinámica temporal peri-evento y resiliencia fisiológica  (NB05, Sección 4)</w:t>
      </w:r>
    </w:p>
    <w:p>
      <w:pPr>
        <w:spacing w:after="140" w:line="280"/>
        <w:jc w:val="both"/>
      </w:pPr>
      <w:r>
        <w:rPr>
          <w:rFonts w:ascii="Arial" w:cs="Arial" w:eastAsia="Arial" w:hAnsi="Arial"/>
          <w:sz w:val="22"/>
          <w:szCs w:val="22"/>
        </w:rPr>
        <w:t xml:space="preserve">Para caracterizar la evolución dinámica del sistema fisiológico en torno a los eventos severos, NB05 (Sección 4) analizó el estado PAC previo, concurrente y posterior a cada evento de morfotipo C4 o C5. La pregunta central es de resiliencia: tras un evento severo que ocurrió en un estado patológico, ¿el organismo retorna en el siguiente intervalo a un estado protector, o permanece en el estado patológico? El análisis se realizó en las tres escalas de forma independiente.</w:t>
      </w:r>
    </w:p>
    <w:p>
      <w:pPr>
        <w:spacing w:after="140" w:line="280"/>
        <w:jc w:val="both"/>
      </w:pPr>
      <w:r>
        <w:rPr>
          <w:rFonts w:ascii="Arial" w:cs="Arial" w:eastAsia="Arial" w:hAnsi="Arial"/>
          <w:sz w:val="22"/>
          <w:szCs w:val="22"/>
        </w:rPr>
        <w:t xml:space="preserve">Los resultados revelan un gradiente de resiliencia marcadamente decreciente con la escala temporal. A escala S (30 s): el 43,3 % mostró recuperación al estado protector, frente al 40,2 % que permaneció patológico. A escala M (5 min): solo el 12,3 % mostró recuperación, mientras el 80,4 % permaneció patológico. A escala L (30 min): la resiliencia es prácticamente inexistente —el 1,3 % frente al 74,5 % colapsado—. La Tabla 6.4 sintetiza estos valores.</w:t>
      </w:r>
    </w:p>
    <w:p>
      <w:pPr>
        <w:spacing w:after="80" w:before="280"/>
      </w:pPr>
      <w:r>
        <w:rPr>
          <w:rFonts w:ascii="Arial" w:cs="Arial" w:eastAsia="Arial" w:hAnsi="Arial"/>
          <w:b/>
          <w:bCs/>
          <w:color w:val="1E3A5F"/>
          <w:sz w:val="20"/>
          <w:szCs w:val="20"/>
        </w:rPr>
        <w:t xml:space="preserve">Tabla 6.4. Resiliencia fisiológica posterior a eventos severos en estados patológicos.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2900"/>
        <w:gridCol w:w="2866"/>
      </w:tblGrid>
      <w:tr>
        <w:trPr>
          <w:tblHeader/>
        </w:trPr>
        <w:tc>
          <w:tcPr>
            <w:tcW w:type="dxa" w:w="1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Escala</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Ventana</w:t>
            </w:r>
          </w:p>
        </w:tc>
        <w:tc>
          <w:tcPr>
            <w:tcW w:type="dxa" w:w="2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Resiliente (retorno a estado protector)</w:t>
            </w:r>
          </w:p>
        </w:tc>
        <w:tc>
          <w:tcPr>
            <w:tcW w:type="dxa" w:w="28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Colapsado (persiste en estado patológico)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 (30 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30 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43,3 %</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40,2 %</w:t>
            </w:r>
          </w:p>
        </w:tc>
      </w:tr>
      <w:tr>
        <w:tc>
          <w:tcPr>
            <w:tcW w:type="dxa" w:w="1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 (5 min)</w:t>
            </w:r>
          </w:p>
        </w:tc>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5 min</w:t>
            </w:r>
          </w:p>
        </w:tc>
        <w:tc>
          <w:tcPr>
            <w:tcW w:type="dxa" w:w="2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12,3 %</w:t>
            </w:r>
          </w:p>
        </w:tc>
        <w:tc>
          <w:tcPr>
            <w:tcW w:type="dxa" w:w="28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80,4 %</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 (30 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30 min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1,3 %</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74,5 %</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Resiliente = siguiente estado protector. Colapsado = siguiente estado patológico. Diferencia al 100 % = estados intermedios o último evento de la noche. Origen: NB05, Sección 4.</w:t>
      </w:r>
    </w:p>
    <w:p>
      <w:pPr>
        <w:spacing w:after="0" w:before="120"/>
        <w:jc w:val="center"/>
      </w:pPr>
      <w:r>
        <w:drawing>
          <wp:inline distT="0" distB="0" distL="0" distR="0">
            <wp:extent cx="5238750" cy="1628775"/>
            <wp:effectExtent t="0" r="0" b="0" l="0"/>
            <wp:docPr id="1" name="Resiliencia fisiologica post-evento multiscala" descr="Resiliencia fisiologica post-evento multiscala" title="Resiliencia fisiologica post-evento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16287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6.4. </w:t>
      </w:r>
      <w:r>
        <w:rPr>
          <w:rFonts w:ascii="Arial" w:cs="Arial" w:eastAsia="Arial" w:hAnsi="Arial"/>
          <w:i/>
          <w:iCs/>
          <w:sz w:val="20"/>
          <w:szCs w:val="20"/>
        </w:rPr>
        <w:t xml:space="preserve">Resiliencia fisiológica post-evento en las tres escalas temporales. Las barras comparan la fracción de eventos severos en estado patológico seguidos de retorno protector (resiliente) versus persistencia patológica (colapsado). El gradiente 43,3 % → 12,3 % → 1,3 % ilustra la inercia creciente del sistema hipóxico.</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4. n = 4.602 eventos C4+C5, cohorte in_strict (12 pacientes).</w:t>
      </w:r>
    </w:p>
    <w:p>
      <w:pPr>
        <w:pStyle w:val="Heading2"/>
        <w:spacing w:after="140" w:before="300"/>
      </w:pPr>
      <w:r>
        <w:rPr>
          <w:rFonts w:ascii="Arial" w:cs="Arial" w:eastAsia="Arial" w:hAnsi="Arial"/>
          <w:b/>
          <w:bCs/>
          <w:color w:val="1E3A5F"/>
          <w:sz w:val="26"/>
          <w:szCs w:val="26"/>
        </w:rPr>
        <w:t xml:space="preserve">6.6  Dinámica Markoviana y corredores de vulnerabilidad  (NB05, Sección 5)</w:t>
      </w:r>
    </w:p>
    <w:p>
      <w:pPr>
        <w:spacing w:after="140" w:line="280"/>
        <w:jc w:val="both"/>
      </w:pPr>
      <w:r>
        <w:rPr>
          <w:rFonts w:ascii="Arial" w:cs="Arial" w:eastAsia="Arial" w:hAnsi="Arial"/>
          <w:sz w:val="22"/>
          <w:szCs w:val="22"/>
        </w:rPr>
        <w:t xml:space="preserve">La representación de estados PAC como cadenas de Markov de primer orden permite modelar la estructura de transición del sistema fisiológico nocturno. NB05 (Sección 5) construyó matrices de transición independientes para cada escala a partir de las secuencias de estados ordenadas cronológicamente dentro de cada noche. El número de transiciones analizadas fue de 462.519 en escala S, 45.900 en escala M y 7.196 en escala L.</w:t>
      </w:r>
    </w:p>
    <w:p>
      <w:pPr>
        <w:spacing w:after="140" w:line="280"/>
        <w:jc w:val="both"/>
      </w:pPr>
      <w:r>
        <w:rPr>
          <w:rFonts w:ascii="Arial" w:cs="Arial" w:eastAsia="Arial" w:hAnsi="Arial"/>
          <w:sz w:val="22"/>
          <w:szCs w:val="22"/>
        </w:rPr>
        <w:t xml:space="preserve">Las matrices de transición revelan que las distribuciones estacionarias no son uniformes, y sus modos coinciden con los estados protectores (S1, M0, L3). El análisis de rutas de transición hacia estados patológicos permite identificar corredores de vulnerabilidad: secuencias de estados que incrementan la probabilidad de ingresar en M1 o L0 en los intervalos siguientes. Estos corredores no son determinísticos: representan incrementos de probabilidad cuya existencia abre la posibilidad de monitorear el avance del sistema hacia mayor vulnerabilidad antes de que el evento severo ocurra.</w:t>
      </w:r>
    </w:p>
    <w:p>
      <w:pPr>
        <w:spacing w:after="0" w:before="120"/>
        <w:jc w:val="center"/>
      </w:pPr>
      <w:r>
        <w:drawing>
          <wp:inline distT="0" distB="0" distL="0" distR="0">
            <wp:extent cx="5238750" cy="1524000"/>
            <wp:effectExtent t="0" r="0" b="0" l="0"/>
            <wp:docPr id="1" name="Matrices de transicion Markoviana PAC States tres escalas" descr="Matrices de transicion Markoviana PAC States tres escalas" title="Matrices de transicion Markoviana PAC States tres esca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1524000"/>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6.5. </w:t>
      </w:r>
      <w:r>
        <w:rPr>
          <w:rFonts w:ascii="Arial" w:cs="Arial" w:eastAsia="Arial" w:hAnsi="Arial"/>
          <w:i/>
          <w:iCs/>
          <w:sz w:val="20"/>
          <w:szCs w:val="20"/>
        </w:rPr>
        <w:t xml:space="preserve">Matrices de transición Markoviana de los PAC States en las tres escalas. La intensidad del color representa la probabilidad de transición del estado fila al estado columna. Los atractores del sistema (S1, M0, L3) presentan alta probabilidad de auto-transición. Los estados patológicos (S6, M1, L0) muestran probabilidades de salida reducidas, consistentes con la baja resiliencia observada en §6.5.</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5. Transiciones: S = 462.519; M = 45.900; L = 7.196. Cadenas Markov de primer orden, 12 pacientes.</w:t>
      </w:r>
    </w:p>
    <w:p>
      <w:pPr>
        <w:pStyle w:val="Heading2"/>
        <w:spacing w:after="140" w:before="300"/>
      </w:pPr>
      <w:r>
        <w:rPr>
          <w:rFonts w:ascii="Arial" w:cs="Arial" w:eastAsia="Arial" w:hAnsi="Arial"/>
          <w:b/>
          <w:bCs/>
          <w:color w:val="1E3A5F"/>
          <w:sz w:val="26"/>
          <w:szCs w:val="26"/>
        </w:rPr>
        <w:t xml:space="preserve">6.7  Trayectorias nocturnas: fenotipos dinámicos globales  (NB05, Sección 6)</w:t>
      </w:r>
    </w:p>
    <w:p>
      <w:pPr>
        <w:spacing w:after="140" w:line="280"/>
        <w:jc w:val="both"/>
      </w:pPr>
      <w:r>
        <w:rPr>
          <w:rFonts w:ascii="Arial" w:cs="Arial" w:eastAsia="Arial" w:hAnsi="Arial"/>
          <w:sz w:val="22"/>
          <w:szCs w:val="22"/>
        </w:rPr>
        <w:t xml:space="preserve">El último bloque de NB05 (Sección 6) pregunta si existen tipos de noche reconocibles cuando se analiza la estructura fisiológica dinámica en su conjunto. Se construyó un vector de siete features nocturnas: fracción de tiempo en M1 y M3, porcentaje de eventos C4+C5, ARI nocturno mediano, coupling index de escala M, número de transiciones M y entropía de estados M. Sobre este vector (513 noches con todas las features disponibles) se aplicó PCA seguido de K-means (K = 3).</w:t>
      </w:r>
    </w:p>
    <w:p>
      <w:pPr>
        <w:spacing w:after="140" w:line="280"/>
        <w:jc w:val="both"/>
      </w:pPr>
      <w:r>
        <w:rPr>
          <w:rFonts w:ascii="Arial" w:cs="Arial" w:eastAsia="Arial" w:hAnsi="Arial"/>
          <w:sz w:val="22"/>
          <w:szCs w:val="22"/>
        </w:rPr>
        <w:t xml:space="preserve">El PCA identificó dos ejes principales que explican el 57,2 % de la varianza combinada (PC1 = 33,6 %; PC2 = 23,6 %). Los tres fenotipos resultantes son: Estable-Protector (fracción M1 = 2,8 %; eventos severos = 3,1 %; ARI = 0,522), Carga Intermedia (mayor entropía = 1,933; mayor número de transiciones ≈42; ARI = 0,493; eventos severos = 5,0 %) y Carga Hipóxica Alta (M1 = 78,1 %; eventos severos = 36,1 %; ARI = 0,284; ≈6 transiciones). La Tabla 6.5 presenta el perfil completo.</w:t>
      </w:r>
    </w:p>
    <w:p>
      <w:pPr>
        <w:spacing w:after="80" w:before="280"/>
      </w:pPr>
      <w:r>
        <w:rPr>
          <w:rFonts w:ascii="Arial" w:cs="Arial" w:eastAsia="Arial" w:hAnsi="Arial"/>
          <w:b/>
          <w:bCs/>
          <w:color w:val="1E3A5F"/>
          <w:sz w:val="20"/>
          <w:szCs w:val="20"/>
        </w:rPr>
        <w:t xml:space="preserve">Tabla 6.5. Fenotipos dinámicos nocturnos identificados por PAC (K = 3, NB05).</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950"/>
        <w:gridCol w:w="950"/>
        <w:gridCol w:w="1100"/>
        <w:gridCol w:w="950"/>
        <w:gridCol w:w="1150"/>
        <w:gridCol w:w="1566"/>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Fenotipo</w:t>
            </w:r>
          </w:p>
        </w:tc>
        <w:tc>
          <w:tcPr>
            <w:tcW w:type="dxa" w:w="9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Frac. M1</w:t>
            </w:r>
          </w:p>
        </w:tc>
        <w:tc>
          <w:tcPr>
            <w:tcW w:type="dxa" w:w="9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Frac. M3</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 eventos severos</w:t>
            </w:r>
          </w:p>
        </w:tc>
        <w:tc>
          <w:tcPr>
            <w:tcW w:type="dxa" w:w="9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ARI mediano</w:t>
            </w:r>
          </w:p>
        </w:tc>
        <w:tc>
          <w:tcPr>
            <w:tcW w:type="dxa" w:w="11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Trans. M</w:t>
            </w:r>
          </w:p>
        </w:tc>
        <w:tc>
          <w:tcPr>
            <w:tcW w:type="dxa" w:w="15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Entropía 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Estable-Protector</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2,8 %</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12,0 %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3,1 %</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0,522</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baja</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baja</w:t>
            </w:r>
          </w:p>
        </w:tc>
      </w:tr>
      <w:tr>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Carga Intermedia</w:t>
            </w:r>
          </w:p>
        </w:tc>
        <w:tc>
          <w:tcPr>
            <w:tcW w:type="dxa" w:w="9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w:t>
            </w:r>
          </w:p>
        </w:tc>
        <w:tc>
          <w:tcPr>
            <w:tcW w:type="dxa" w:w="9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22,7 %</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5,0 %</w:t>
            </w:r>
          </w:p>
        </w:tc>
        <w:tc>
          <w:tcPr>
            <w:tcW w:type="dxa" w:w="9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0,493</w:t>
            </w:r>
          </w:p>
        </w:tc>
        <w:tc>
          <w:tcPr>
            <w:tcW w:type="dxa" w:w="11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alta (≈42)</w:t>
            </w:r>
          </w:p>
        </w:tc>
        <w:tc>
          <w:tcPr>
            <w:tcW w:type="dxa" w:w="15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1,933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Carga Hipóxica Alta</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78,1 %</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36,1 %</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0,284</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muy baja (≈6)</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baja</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K-means (K = 3) sobre PCA de 7 features nocturnas. n = 513 noches, 12 pacientes. Origen: NB05, Sección 6.</w:t>
      </w:r>
    </w:p>
    <w:p>
      <w:pPr>
        <w:spacing w:after="0" w:before="120"/>
        <w:jc w:val="center"/>
      </w:pPr>
      <w:r>
        <w:drawing>
          <wp:inline distT="0" distB="0" distL="0" distR="0">
            <wp:extent cx="5238750" cy="2390775"/>
            <wp:effectExtent t="0" r="0" b="0" l="0"/>
            <wp:docPr id="1" name="Trayectorias nocturnas PAC espacio PCA fenotipos" descr="Trayectorias nocturnas PAC espacio PCA fenotipos" title="Trayectorias nocturnas PAC espacio PCA fenot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23907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6.6. </w:t>
      </w:r>
      <w:r>
        <w:rPr>
          <w:rFonts w:ascii="Arial" w:cs="Arial" w:eastAsia="Arial" w:hAnsi="Arial"/>
          <w:i/>
          <w:iCs/>
          <w:sz w:val="20"/>
          <w:szCs w:val="20"/>
        </w:rPr>
        <w:t xml:space="preserve">Trayectorias nocturnas en el espacio PCA (PC1 × PC2), coloreadas por fenotipo dinámico PAC. PC1 (33,6 %) representa el gradiente de carga hipóxica / respuesta autonómica; PC2 (23,6 %) el gradiente de dinamismo. El fenotipo Carga Hipóxica Alta se localiza en el extremo negativo de PC1 con baja variabilidad.</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6. n = 513 noches. El fenotipo Carga Hipóxica Alta aparece en el 4,4 % de las noches AASM Moderadas y en el 0 % de las Severas.</w:t>
      </w:r>
    </w:p>
    <w:p>
      <w:pPr>
        <w:spacing w:after="140" w:line="280"/>
        <w:jc w:val="both"/>
      </w:pPr>
      <w:r>
        <w:rPr>
          <w:rFonts w:ascii="Arial" w:cs="Arial" w:eastAsia="Arial" w:hAnsi="Arial"/>
          <w:sz w:val="22"/>
          <w:szCs w:val="22"/>
        </w:rPr>
        <w:t xml:space="preserve">El hallazgo más significativo es la distribución del fenotipo Carga Hipóxica Alta en relación con la clasificación clínica AASM. Este fenotipo —el de mayor extremismo fisiológico, con ARI = 0,284 y dinámica colapsada— aparece exclusivamente en un subgrupo de pacientes con severidad AASM Moderada (4,4 % de las noches Moderadas), y está completamente ausente en los pacientes Severos. Este hallazgo debe interpretarse como evidencia exploratoria de discordancia entre severidad AASM y fenotipo PAC, no como una inversión definitiva de riesgo clínico. Una posible explicación es que los pacientes Severos conservan cierta reactividad autonómica residual que genera transiciones entre estados y evita que la noche colapse completamente en M1, mientras que el subgrupo Moderado en cuestión muestra un perfil de agotamiento autonómico que los índices de frecuencia no detectan.</w:t>
      </w:r>
    </w:p>
    <w:p>
      <w:pPr>
        <w:pStyle w:val="Heading2"/>
        <w:spacing w:after="140" w:before="300"/>
      </w:pPr>
      <w:r>
        <w:rPr>
          <w:rFonts w:ascii="Arial" w:cs="Arial" w:eastAsia="Arial" w:hAnsi="Arial"/>
          <w:b/>
          <w:bCs/>
          <w:color w:val="1E3A5F"/>
          <w:sz w:val="26"/>
          <w:szCs w:val="26"/>
        </w:rPr>
        <w:t xml:space="preserve">6.8  Importancia predictiva de las features PAC: ablación LOPO-CV  (NB06)</w:t>
      </w:r>
    </w:p>
    <w:p>
      <w:pPr>
        <w:spacing w:after="140" w:line="280"/>
        <w:jc w:val="both"/>
      </w:pPr>
      <w:r>
        <w:rPr>
          <w:rFonts w:ascii="Arial" w:cs="Arial" w:eastAsia="Arial" w:hAnsi="Arial"/>
          <w:sz w:val="22"/>
          <w:szCs w:val="22"/>
        </w:rPr>
        <w:t xml:space="preserve">NB06 cuantifica la contribución predictiva de cada grupo de variables mediante ablación LOPO-CV. El modelo base es un Random Forest con class_weight = balanced, aplicado a la clasificación multiclase de cuatro categorías AASM sobre 540 noches de la cohorte estricta. Los grupos de features son: PAC States S/M/L (20 variables), PAC Dynamics (6 variables: coupling index por escala, entropía M y trayectoria nocturna), Morfotipos C1–C5 (6 variables), ARI (3 variables), Sueño (3 variables) y variables Clínicas (6 variables). El análisis de Kruskal-Wallis previo confirmó que las features más asociadas con la severidad son n_transitions_state_s (H = 248,3), frac_state_s_S3 (H = 215,1) y frac_state_s_S4 (H = 210,6), todas de origen PAC.</w:t>
      </w:r>
    </w:p>
    <w:p>
      <w:pPr>
        <w:spacing w:after="140" w:line="280"/>
        <w:jc w:val="both"/>
      </w:pPr>
      <w:r>
        <w:rPr>
          <w:rFonts w:ascii="Arial" w:cs="Arial" w:eastAsia="Arial" w:hAnsi="Arial"/>
          <w:sz w:val="22"/>
          <w:szCs w:val="22"/>
        </w:rPr>
        <w:t xml:space="preserve">El rendimiento global del clasificador multiclase requiere una lectura cautelosa. La balanced accuracy es 0,318 y el Cohen κ = 0,131 ("slight" según Landis &amp; Koch, 1977). Estos valores no deben interpretarse como fracaso predictivo, sino como consecuencia del problema específico: cuatro categorías desbalanceadas (Leve = 60,4 %; Moderado = 27,4 %; Normal = 7,6 %; Severo = 4,6 %), n efectivo de validación de ocho pacientes y alta variabilidad intraindividual. El valor diagnóstico de NB06 reside en el análisis de importancia de features. Por ello, NB06 debe leerse principalmente como análisis de importancia de representaciones, no como clasificador clínico final.</w:t>
      </w:r>
    </w:p>
    <w:p>
      <w:pPr>
        <w:spacing w:after="140" w:line="280"/>
        <w:jc w:val="both"/>
      </w:pPr>
      <w:r>
        <w:rPr>
          <w:rFonts w:ascii="Arial" w:cs="Arial" w:eastAsia="Arial" w:hAnsi="Arial"/>
          <w:sz w:val="22"/>
          <w:szCs w:val="22"/>
        </w:rPr>
        <w:t xml:space="preserve">El hallazgo central es que los PAC States constituyen el grupo predictor dominante: 44,75 % del peso total, seguidos de morfotipos C1–C5 (20,2 %), dinámica PAC (14,7 %), variables clínicas (10,2 %), sueño (6,8 %) y ARI (3,4 %). Los PAC States fueron aprendidos de forma completamente no supervisada, sin utilizar etiquetas clínicas de severidad. La Tabla 6.6 presenta los valores por grupo y la Tabla 6.6b las diez features individuales de mayor importancia.</w:t>
      </w:r>
    </w:p>
    <w:p>
      <w:pPr>
        <w:spacing w:after="80" w:before="280"/>
      </w:pPr>
      <w:r>
        <w:rPr>
          <w:rFonts w:ascii="Arial" w:cs="Arial" w:eastAsia="Arial" w:hAnsi="Arial"/>
          <w:b/>
          <w:bCs/>
          <w:color w:val="1E3A5F"/>
          <w:sz w:val="20"/>
          <w:szCs w:val="20"/>
        </w:rPr>
        <w:t xml:space="preserve">Tabla 6.6. Importancia relativa de grupos de features (Random Forest, NB06).</w:t>
      </w:r>
    </w:p>
    <w:tbl>
      <w:tblPr>
        <w:tblW w:type="dxa" w:w="766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100"/>
        <w:gridCol w:w="1566"/>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Grupo de features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N variables</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Importancia (Gini)</w:t>
            </w:r>
          </w:p>
        </w:tc>
        <w:tc>
          <w:tcPr>
            <w:tcW w:type="dxa" w:w="15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 sobre total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 (S/M/L)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0,4475</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44,8 %</w:t>
            </w:r>
          </w:p>
        </w:tc>
      </w:tr>
      <w:tr>
        <w:tc>
          <w:tcPr>
            <w:tcW w:type="dxa" w:w="2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Morfotipos C1–C5</w:t>
            </w:r>
          </w:p>
        </w:tc>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6</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0,2019</w:t>
            </w:r>
          </w:p>
        </w:tc>
        <w:tc>
          <w:tcPr>
            <w:tcW w:type="dxa" w:w="15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20,2 %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PAC Dynamics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0,1466</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14,7 %</w:t>
            </w:r>
          </w:p>
        </w:tc>
      </w:tr>
      <w:tr>
        <w:tc>
          <w:tcPr>
            <w:tcW w:type="dxa" w:w="2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Variables clínicas</w:t>
            </w:r>
          </w:p>
        </w:tc>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6</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0,1023</w:t>
            </w:r>
          </w:p>
        </w:tc>
        <w:tc>
          <w:tcPr>
            <w:tcW w:type="dxa" w:w="15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10,2 %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Sueño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0,0680</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 6,8 %</w:t>
            </w:r>
          </w:p>
        </w:tc>
      </w:tr>
      <w:tr>
        <w:tc>
          <w:tcPr>
            <w:tcW w:type="dxa" w:w="2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ARI</w:t>
            </w:r>
          </w:p>
        </w:tc>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3</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0,0337</w:t>
            </w:r>
          </w:p>
        </w:tc>
        <w:tc>
          <w:tcPr>
            <w:tcW w:type="dxa" w:w="15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 3,4 %</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Importancia Gini promediada sobre 8 folds LOPO-CV. 540 noches, 8 pacientes. Origen: NB06.</w:t>
      </w:r>
    </w:p>
    <w:p>
      <w:pPr>
        <w:spacing w:after="80" w:before="280"/>
      </w:pPr>
      <w:r>
        <w:rPr>
          <w:rFonts w:ascii="Arial" w:cs="Arial" w:eastAsia="Arial" w:hAnsi="Arial"/>
          <w:b/>
          <w:bCs/>
          <w:color w:val="1E3A5F"/>
          <w:sz w:val="20"/>
          <w:szCs w:val="20"/>
        </w:rPr>
        <w:t xml:space="preserve">Tabla 6.6b. Top-10 features individuales por importancia Gini (NB06).</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500"/>
        <w:gridCol w:w="850"/>
        <w:gridCol w:w="3816"/>
      </w:tblGrid>
      <w:tr>
        <w:trPr>
          <w:tblHeader/>
        </w:trPr>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Rango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Feature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Grupo</w:t>
            </w:r>
          </w:p>
        </w:tc>
        <w:tc>
          <w:tcPr>
            <w:tcW w:type="dxa" w:w="8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Gini</w:t>
            </w:r>
          </w:p>
        </w:tc>
        <w:tc>
          <w:tcPr>
            <w:tcW w:type="dxa" w:w="381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Interpretación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frac_state_s_S3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0,0860</w:t>
            </w:r>
          </w:p>
        </w:tc>
        <w:tc>
          <w:tcPr>
            <w:tcW w:type="dxa" w:w="38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en estado S protector</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2</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n_transitions_state_s</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PAC Dynamics</w:t>
            </w:r>
          </w:p>
        </w:tc>
        <w:tc>
          <w:tcPr>
            <w:tcW w:type="dxa" w:w="8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0,0739</w:t>
            </w:r>
          </w:p>
        </w:tc>
        <w:tc>
          <w:tcPr>
            <w:tcW w:type="dxa" w:w="381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Dinamismo microdinámica 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bmi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Clínico</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0,0731</w:t>
            </w:r>
          </w:p>
        </w:tc>
        <w:tc>
          <w:tcPr>
            <w:tcW w:type="dxa" w:w="38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IMC del paciente</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4</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frac_c2</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Morfotipos</w:t>
            </w:r>
          </w:p>
        </w:tc>
        <w:tc>
          <w:tcPr>
            <w:tcW w:type="dxa" w:w="8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0,0668</w:t>
            </w:r>
          </w:p>
        </w:tc>
        <w:tc>
          <w:tcPr>
            <w:tcW w:type="dxa" w:w="381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morfotipo benigno C2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frac_c1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Morfotipos</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0,0664</w:t>
            </w:r>
          </w:p>
        </w:tc>
        <w:tc>
          <w:tcPr>
            <w:tcW w:type="dxa" w:w="38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morfotipo benigno C1</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6</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frac_state_l_L3</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8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~0,060</w:t>
            </w:r>
          </w:p>
        </w:tc>
        <w:tc>
          <w:tcPr>
            <w:tcW w:type="dxa" w:w="381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en estado L protector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frac_state_l_L0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~0,059</w:t>
            </w:r>
          </w:p>
        </w:tc>
        <w:tc>
          <w:tcPr>
            <w:tcW w:type="dxa" w:w="38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en estado L patológico</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8</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frac_state_m_M1</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8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~0,054</w:t>
            </w:r>
          </w:p>
        </w:tc>
        <w:tc>
          <w:tcPr>
            <w:tcW w:type="dxa" w:w="381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en estado M patológico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waso_s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Sueño</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~0,053</w:t>
            </w:r>
          </w:p>
        </w:tc>
        <w:tc>
          <w:tcPr>
            <w:tcW w:type="dxa" w:w="38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Tiempo de vigilia tras inicio de sueño</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10</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frac_state_m_M0</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8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~0,052</w:t>
            </w:r>
          </w:p>
        </w:tc>
        <w:tc>
          <w:tcPr>
            <w:tcW w:type="dxa" w:w="381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en estado M protector</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Gini promediado sobre 8 folds LOPO-CV. Rangos 6–10 aproximados desde figura 06_feature_importance_gini.png. Origen: NB06.</w:t>
      </w:r>
    </w:p>
    <w:p>
      <w:pPr>
        <w:spacing w:after="0" w:before="120"/>
        <w:jc w:val="center"/>
      </w:pPr>
      <w:r>
        <w:drawing>
          <wp:inline distT="0" distB="0" distL="0" distR="0">
            <wp:extent cx="5238750" cy="4181475"/>
            <wp:effectExtent t="0" r="0" b="0" l="0"/>
            <wp:docPr id="1" name="Feature importance Gini Random Forest LOPO-CV NB06" descr="Feature importance Gini Random Forest LOPO-CV NB06" title="Feature importance Gini Random Forest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41814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6.7. </w:t>
      </w:r>
      <w:r>
        <w:rPr>
          <w:rFonts w:ascii="Arial" w:cs="Arial" w:eastAsia="Arial" w:hAnsi="Arial"/>
          <w:i/>
          <w:iCs/>
          <w:sz w:val="20"/>
          <w:szCs w:val="20"/>
        </w:rPr>
        <w:t xml:space="preserve">Top-25 features por importancia Gini (Random Forest, LOPO-CV, NB06). Las barras están coloreadas por grupo. Los PAC States dominan el ranking; la variable más importante es frac_state_s_S3 (Gini = 0,0860). El ARI queda en las posiciones más bajas, consistente con su ortogonalidad respecto a la severidad hipóxica.</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NB06. n = 540 noches, 8 pacientes. Barras = media ± SD sobre los 8 folds LOPO-CV.</w:t>
      </w:r>
    </w:p>
    <w:p>
      <w:pPr>
        <w:spacing w:after="0" w:before="120"/>
        <w:jc w:val="center"/>
      </w:pPr>
      <w:r>
        <w:drawing>
          <wp:inline distT="0" distB="0" distL="0" distR="0">
            <wp:extent cx="5238750" cy="1990725"/>
            <wp:effectExtent t="0" r="0" b="0" l="0"/>
            <wp:docPr id="1" name="Ablation study balanced accuracy LOPO-CV NB06" descr="Ablation study balanced accuracy LOPO-CV NB06" title="Ablation study balanced accuracy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19907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6.8. </w:t>
      </w:r>
      <w:r>
        <w:rPr>
          <w:rFonts w:ascii="Arial" w:cs="Arial" w:eastAsia="Arial" w:hAnsi="Arial"/>
          <w:i/>
          <w:iCs/>
          <w:sz w:val="20"/>
          <w:szCs w:val="20"/>
        </w:rPr>
        <w:t xml:space="preserve">Ablación por grupo de features en clasificación multiclase LOPO-CV (NB06). Panel izquierdo: balanced accuracy. Panel derecho: Cohen κ. El modelo "PAC only" (balanced accuracy = 0,521 ± 0,218) supera a todos los modelos con features adicionales y al modelo "Clínico only" (0,354 ± 0,294), confirmando el valor predictivo autónomo de las representaciones PAC.</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NB06. Barras = media ± SD sobre 8 folds LOPO-CV. "PAC only" incluye PAC States + PAC Dynamics.</w:t>
      </w:r>
    </w:p>
    <w:p>
      <w:pPr>
        <w:spacing w:after="140" w:line="280"/>
        <w:jc w:val="both"/>
      </w:pPr>
      <w:r>
        <w:rPr>
          <w:rFonts w:ascii="Arial" w:cs="Arial" w:eastAsia="Arial" w:hAnsi="Arial"/>
          <w:sz w:val="22"/>
          <w:szCs w:val="22"/>
        </w:rPr>
        <w:t xml:space="preserve">El experimento de ablación también confirma la baja utilidad incremental del ARI para la predicción de severidad clásica: el modelo "ARI only" alcanza balanced accuracy = 0,281 ± 0,150, el resultado más bajo de todos los conjuntos evaluados. Esto no implica que el ARI carezca de valor fisiológico —mide una dimensión ortogonal a la severidad (ρ = 0,035)—, sino que no es un predictor lineal de la categoría AASM.</w:t>
      </w:r>
    </w:p>
    <w:p>
      <w:pPr>
        <w:pStyle w:val="Heading2"/>
        <w:spacing w:after="140" w:before="300"/>
      </w:pPr>
      <w:r>
        <w:rPr>
          <w:rFonts w:ascii="Arial" w:cs="Arial" w:eastAsia="Arial" w:hAnsi="Arial"/>
          <w:b/>
          <w:bCs/>
          <w:color w:val="1E3A5F"/>
          <w:sz w:val="26"/>
          <w:szCs w:val="26"/>
        </w:rPr>
        <w:t xml:space="preserve">6.9  Modelo predictivo a nivel de evento  (NB07, Bloque B)</w:t>
      </w:r>
    </w:p>
    <w:p>
      <w:pPr>
        <w:spacing w:after="140" w:line="280"/>
        <w:jc w:val="both"/>
      </w:pPr>
      <w:r>
        <w:rPr>
          <w:rFonts w:ascii="Arial" w:cs="Arial" w:eastAsia="Arial" w:hAnsi="Arial"/>
          <w:sz w:val="22"/>
          <w:szCs w:val="22"/>
        </w:rPr>
        <w:t xml:space="preserve">El primer módulo predictivo de NB07 (Bloque B) estima la probabilidad de que un EDO individual sea morfológicamente severo (C4 o C5). Las features temporales se calculan de forma causal, acumulando información de los eventos previos y del estado PAC en ventanas de hasta 5 minutos antes del evento en cuestión (lead time ≈ escala M). Los primeros cinco EDOs de cada noche se excluyen, dejando 76.053 eventos con contexto disponible (prevalencia de clase positiva: 5,57 %).</w:t>
      </w:r>
    </w:p>
    <w:p>
      <w:pPr>
        <w:spacing w:after="140" w:line="280"/>
        <w:jc w:val="both"/>
      </w:pPr>
      <w:r>
        <w:rPr>
          <w:rFonts w:ascii="Arial" w:cs="Arial" w:eastAsia="Arial" w:hAnsi="Arial"/>
          <w:sz w:val="22"/>
          <w:szCs w:val="22"/>
        </w:rPr>
        <w:t xml:space="preserve">Se comparó una regresión logística basal con un clasificador LightGBM en esquema LOPO-CV. La regresión logística alcanzó AUC = 0,743 (Sensibilidad = 0,716; Especificidad = 0,660). El LightGBM mejoró sustancialmente: AUC = 0,878, Sensibilidad = 0,87, Especificidad = 0,76 (umbral óptimo 0,38). La mejora en Average Precision fue de 4,3× sobre el baseline (AP = 0,240 vs. baseline = 5,56 %). Los resultados son consistentes entre folds: rango de AUC 0,798–0,964. La Tabla 6.7 sintetiza el rendimiento.</w:t>
      </w:r>
    </w:p>
    <w:p>
      <w:pPr>
        <w:spacing w:after="80" w:before="280"/>
      </w:pPr>
      <w:r>
        <w:rPr>
          <w:rFonts w:ascii="Arial" w:cs="Arial" w:eastAsia="Arial" w:hAnsi="Arial"/>
          <w:b/>
          <w:bCs/>
          <w:color w:val="1E3A5F"/>
          <w:sz w:val="20"/>
          <w:szCs w:val="20"/>
        </w:rPr>
        <w:t xml:space="preserve">Tabla 6.7. Rendimiento comparativo del modelo predictivo de evento severo (LOPO-CV, NB07).</w:t>
      </w:r>
    </w:p>
    <w:tbl>
      <w:tblPr>
        <w:tblW w:type="dxa" w:w="766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066"/>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Modelo</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AUC LOPO</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AP LOPO</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Sensibilidad</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Especificidad</w:t>
            </w:r>
          </w:p>
        </w:tc>
        <w:tc>
          <w:tcPr>
            <w:tcW w:type="dxa" w:w="10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Mejora 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Regresión logística (basal)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0,743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0,164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0,716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0,660</w:t>
            </w:r>
          </w:p>
        </w:tc>
        <w:tc>
          <w:tcPr>
            <w:tcW w:type="dxa" w:w="1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2,9×</w:t>
            </w:r>
          </w:p>
        </w:tc>
      </w:tr>
      <w:tr>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LightGBM</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0,878</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0,240</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0,87</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0,76</w:t>
            </w:r>
          </w:p>
        </w:tc>
        <w:tc>
          <w:tcPr>
            <w:tcW w:type="dxa" w:w="10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4,3×</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Clase positiva = C4 o C5 (5,57 %, n = 76.053). Baseline AP = 5,56 % (prevalencia). Rango AUC por fold (LightGBM): 0,798–0,964. Origen: NB07, Bloque B.</w:t>
      </w:r>
    </w:p>
    <w:p>
      <w:pPr>
        <w:spacing w:after="0" w:before="120"/>
        <w:jc w:val="center"/>
      </w:pPr>
      <w:r>
        <w:drawing>
          <wp:inline distT="0" distB="0" distL="0" distR="0">
            <wp:extent cx="5238750" cy="3248025"/>
            <wp:effectExtent t="0" r="0" b="0" l="0"/>
            <wp:docPr id="1" name="ROC comparativo LightGBM vs logistica prediccion evento severo LOPO-CV" descr="ROC comparativo LightGBM vs logistica prediccion evento severo LOPO-CV" title="ROC comparativo LightGBM vs logistica prediccion evento severo LOPO-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32480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6.9. </w:t>
      </w:r>
      <w:r>
        <w:rPr>
          <w:rFonts w:ascii="Arial" w:cs="Arial" w:eastAsia="Arial" w:hAnsi="Arial"/>
          <w:i/>
          <w:iCs/>
          <w:sz w:val="20"/>
          <w:szCs w:val="20"/>
        </w:rPr>
        <w:t xml:space="preserve">Comparación de curvas ROC y Precision-Recall: LightGBM (azul) versus regresión logística basal (rojo) en validación LOPO-CV. Panel izquierdo: curvas ROC (AUC = 0,878 vs. 0,743). Panel derecho: curvas Precision-Recall (AP = 0,240 vs. 0,164). La línea discontinua indica el baseline (prevalencia de la clase positiva).</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B. n = 76.053 eventos, 8 pacientes. Features calculadas causalmente.</w:t>
      </w:r>
    </w:p>
    <w:p>
      <w:pPr>
        <w:spacing w:after="140" w:line="280"/>
        <w:jc w:val="both"/>
      </w:pPr>
      <w:r>
        <w:rPr>
          <w:rFonts w:ascii="Arial" w:cs="Arial" w:eastAsia="Arial" w:hAnsi="Arial"/>
          <w:sz w:val="22"/>
          <w:szCs w:val="22"/>
        </w:rPr>
        <w:t xml:space="preserve">El análisis de importancia de features (gain LightGBM) revela que las variables más predictivas son los contextos acumulados: event_position (gain = 1.651), recent_morph_mean (1.283), ci_so_far (1.169), state_s_enc (874) y frac_path_m_30ev (872). El riesgo de un evento severo se lee como acumulación progresiva de deterioro dentro de la noche: la historia importa tanto como el estado presente.</w:t>
      </w:r>
    </w:p>
    <w:p>
      <w:pPr>
        <w:spacing w:after="0" w:before="120"/>
        <w:jc w:val="center"/>
      </w:pPr>
      <w:r>
        <w:drawing>
          <wp:inline distT="0" distB="0" distL="0" distR="0">
            <wp:extent cx="5238750" cy="3248025"/>
            <wp:effectExtent t="0" r="0" b="0" l="0"/>
            <wp:docPr id="1" name="Importancia features LightGBM prediccion evento severo" descr="Importancia features LightGBM prediccion evento severo" title="Importancia features LightGBM prediccion evento sev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32480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6.10. </w:t>
      </w:r>
      <w:r>
        <w:rPr>
          <w:rFonts w:ascii="Arial" w:cs="Arial" w:eastAsia="Arial" w:hAnsi="Arial"/>
          <w:i/>
          <w:iCs/>
          <w:sz w:val="20"/>
          <w:szCs w:val="20"/>
        </w:rPr>
        <w:t xml:space="preserve">Importancia de features del modelo de predicción de evento severo (LightGBM, entrenado sobre corpus completo). Las features de contexto acumulado —posición en la noche, morfología reciente y coupling index acumulado— dominan sobre el estado instantáneo.</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B. Importancia de tipo gain. n = 76.053 eventos.</w:t>
      </w:r>
    </w:p>
    <w:p>
      <w:pPr>
        <w:pStyle w:val="Heading2"/>
        <w:spacing w:after="140" w:before="300"/>
      </w:pPr>
      <w:r>
        <w:rPr>
          <w:rFonts w:ascii="Arial" w:cs="Arial" w:eastAsia="Arial" w:hAnsi="Arial"/>
          <w:b/>
          <w:bCs/>
          <w:color w:val="1E3A5F"/>
          <w:sz w:val="26"/>
          <w:szCs w:val="26"/>
        </w:rPr>
        <w:t xml:space="preserve">6.10  Modelo predictivo a nivel de noche  (NB07, Bloque C)</w:t>
      </w:r>
    </w:p>
    <w:p>
      <w:pPr>
        <w:spacing w:after="140" w:line="280"/>
        <w:jc w:val="both"/>
      </w:pPr>
      <w:r>
        <w:rPr>
          <w:rFonts w:ascii="Arial" w:cs="Arial" w:eastAsia="Arial" w:hAnsi="Arial"/>
          <w:sz w:val="22"/>
          <w:szCs w:val="22"/>
        </w:rPr>
        <w:t xml:space="preserve">El segundo módulo opera a escala nocturna con clasificación binaria: Normal + Leve versus Moderado + Severo (NB07, Bloque C). El corpus es de 494 noches con prevalencia de clase positiva del 34,8 % (172 noches). Las features son agregados de la noche completa —fracciones de tiempo en estados PAC, entropía, transiciones, coupling index, porcentaje de eventos severos, ARI medio y trayectoria—. La clasificación es retrospectiva: se realiza sobre la noche ya completada.</w:t>
      </w:r>
    </w:p>
    <w:p>
      <w:pPr>
        <w:spacing w:after="140" w:line="280"/>
        <w:jc w:val="both"/>
      </w:pPr>
      <w:r>
        <w:rPr>
          <w:rFonts w:ascii="Arial" w:cs="Arial" w:eastAsia="Arial" w:hAnsi="Arial"/>
          <w:sz w:val="22"/>
          <w:szCs w:val="22"/>
        </w:rPr>
        <w:t xml:space="preserve">La regresión logística obtuvo AUC = 0,905 y Average Precision = 0,834 (baseline = 0,348). El Random Forest obtuvo AUC = 0,783 y AP = 0,649. La superioridad de la regresión logística sugiere que, una vez transformadas las señales crudas en features PAC, la separación entre noches de bajo y alto riesgo puede aproximarse de forma lineal —la complejidad fisiológica fue capturada en etapas previas del pipeline—. La Tabla 6.8 presenta el rendimiento.</w:t>
      </w:r>
    </w:p>
    <w:p>
      <w:pPr>
        <w:spacing w:after="80" w:before="280"/>
      </w:pPr>
      <w:r>
        <w:rPr>
          <w:rFonts w:ascii="Arial" w:cs="Arial" w:eastAsia="Arial" w:hAnsi="Arial"/>
          <w:b/>
          <w:bCs/>
          <w:color w:val="1E3A5F"/>
          <w:sz w:val="20"/>
          <w:szCs w:val="20"/>
        </w:rPr>
        <w:t xml:space="preserve">Tabla 6.8. Rendimiento comparativo del modelo predictivo nocturno binario (LOPO-CV, NB07).</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2000"/>
        <w:gridCol w:w="1866"/>
      </w:tblGrid>
      <w:tr>
        <w:trPr>
          <w:tblHeader/>
        </w:trPr>
        <w:tc>
          <w:tcPr>
            <w:tcW w:type="dxa" w:w="2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Modelo</w:t>
            </w:r>
          </w:p>
        </w:tc>
        <w:tc>
          <w:tcPr>
            <w:tcW w:type="dxa" w:w="1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AUC LOPO</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Average Precision</w:t>
            </w:r>
          </w:p>
        </w:tc>
        <w:tc>
          <w:tcPr>
            <w:tcW w:type="dxa" w:w="18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Baseline AP</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Regresión logística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0,905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0,834</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0,348</w:t>
            </w:r>
          </w:p>
        </w:tc>
      </w:tr>
      <w:tr>
        <w:tc>
          <w:tcPr>
            <w:tcW w:type="dxa" w:w="2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Random Forest</w:t>
            </w:r>
          </w:p>
        </w:tc>
        <w:tc>
          <w:tcPr>
            <w:tcW w:type="dxa" w:w="1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0,783</w:t>
            </w:r>
          </w:p>
        </w:tc>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0,649</w:t>
            </w:r>
          </w:p>
        </w:tc>
        <w:tc>
          <w:tcPr>
            <w:tcW w:type="dxa" w:w="18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0,348</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Clasificación binaria: Normal+Leve vs. Moderado+Severo. n = 494 noches, 8 pacientes. Origen: NB07, Bloque C.</w:t>
      </w:r>
    </w:p>
    <w:p>
      <w:pPr>
        <w:spacing w:after="0" w:before="120"/>
        <w:jc w:val="center"/>
      </w:pPr>
      <w:r>
        <w:drawing>
          <wp:inline distT="0" distB="0" distL="0" distR="0">
            <wp:extent cx="5238750" cy="2181225"/>
            <wp:effectExtent t="0" r="0" b="0" l="0"/>
            <wp:docPr id="1" name="ROC clasificacion nocturna binaria LOPO-CV regresion logistica" descr="ROC clasificacion nocturna binaria LOPO-CV regresion logistica" title="ROC clasificacion nocturna binaria LOPO-CV regresion logi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21812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6.11. </w:t>
      </w:r>
      <w:r>
        <w:rPr>
          <w:rFonts w:ascii="Arial" w:cs="Arial" w:eastAsia="Arial" w:hAnsi="Arial"/>
          <w:i/>
          <w:iCs/>
          <w:sz w:val="20"/>
          <w:szCs w:val="20"/>
        </w:rPr>
        <w:t xml:space="preserve">Curvas ROC y Precision-Recall para la clasificación nocturna binaria (LOPO-CV, NB07 Bloque C). Logística (azul): AUC = 0,905, AP = 0,834. Random Forest (rojo): AUC = 0,783, AP = 0,649. Baseline AP = 0,348 (prevalencia de clase positiva).</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C. n = 494 noches, 8 pacientes.</w:t>
      </w:r>
    </w:p>
    <w:p>
      <w:pPr>
        <w:spacing w:after="140" w:line="280"/>
        <w:jc w:val="both"/>
      </w:pPr>
      <w:r>
        <w:rPr>
          <w:rFonts w:ascii="Arial" w:cs="Arial" w:eastAsia="Arial" w:hAnsi="Arial"/>
          <w:sz w:val="22"/>
          <w:szCs w:val="22"/>
        </w:rPr>
        <w:t xml:space="preserve">Las features dominantes según la importancia del Random Forest son las fracciones de tiempo en estados M: frac_state_m_M0 (0,203), frac_state_m_M3 (0,198), frac_state_m_M1 (0,152) y frac_state_m_M2 (0,141), que en conjunto explican el 69,4 % de la importancia total. El tiempo relativo en M1 versus los estados protectores M0 y M2 contiene suficiente información para estratificar el riesgo nocturno con AUC = 0,905.</w:t>
      </w:r>
    </w:p>
    <w:p>
      <w:pPr>
        <w:spacing w:after="0" w:before="120"/>
        <w:jc w:val="center"/>
      </w:pPr>
      <w:r>
        <w:drawing>
          <wp:inline distT="0" distB="0" distL="0" distR="0">
            <wp:extent cx="5238750" cy="3476625"/>
            <wp:effectExtent t="0" r="0" b="0" l="0"/>
            <wp:docPr id="1" name="Feature importance modelo nocturno binario Random Forest" descr="Feature importance modelo nocturno binario Random Forest" title="Feature importance modelo nocturno binario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34766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6.12. </w:t>
      </w:r>
      <w:r>
        <w:rPr>
          <w:rFonts w:ascii="Arial" w:cs="Arial" w:eastAsia="Arial" w:hAnsi="Arial"/>
          <w:i/>
          <w:iCs/>
          <w:sz w:val="20"/>
          <w:szCs w:val="20"/>
        </w:rPr>
        <w:t xml:space="preserve">Importancia de features del modelo nocturno binario (Random Forest, NB07 Bloque C). Las fracciones de estados de escala M dominan: frac_state_m_M0 (0,203), frac_state_m_M3 (0,198), frac_state_m_M1 (0,152) y frac_state_m_M2 (0,141) acumulan el 69,4 % del total.</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C. n = 494 noches, 8 pacientes.</w:t>
      </w:r>
    </w:p>
    <w:p>
      <w:pPr>
        <w:pStyle w:val="Heading2"/>
        <w:spacing w:after="140" w:before="300"/>
      </w:pPr>
      <w:r>
        <w:rPr>
          <w:rFonts w:ascii="Arial" w:cs="Arial" w:eastAsia="Arial" w:hAnsi="Arial"/>
          <w:b/>
          <w:bCs/>
          <w:color w:val="1E3A5F"/>
          <w:sz w:val="26"/>
          <w:szCs w:val="26"/>
        </w:rPr>
        <w:t xml:space="preserve">6.11  Interpretabilidad del modelo nocturno</w:t>
      </w:r>
    </w:p>
    <w:p>
      <w:pPr>
        <w:spacing w:after="140" w:line="280"/>
        <w:jc w:val="both"/>
      </w:pPr>
      <w:r>
        <w:rPr>
          <w:rFonts w:ascii="Arial" w:cs="Arial" w:eastAsia="Arial" w:hAnsi="Arial"/>
          <w:sz w:val="22"/>
          <w:szCs w:val="22"/>
        </w:rPr>
        <w:t xml:space="preserve">La superioridad de la regresión logística tiene un valor adicional al métrico: sus coeficientes permiten leer la dirección y magnitud de la contribución de cada feature. Las noches de alto riesgo (Moderado + Severo) se distinguen por mayor fracción de tiempo en M1, menor fracción en M0 y M2, mayor coupling index, mayor proporción de eventos severos y mayor entropía de estados —indicativa de alternancia entre estados patológicos sin consolidación de períodos de recuperación—. Esta coherencia entre los coeficientes del modelo y la narrativa fisiológica desarrollada en los capítulos previos constituye un indicador de validez de constructo: el modelo opera sobre representaciones con semántica fisiológica explícita.</w:t>
      </w:r>
    </w:p>
    <w:p>
      <w:pPr>
        <w:pStyle w:val="Heading2"/>
        <w:spacing w:after="140" w:before="300"/>
      </w:pPr>
      <w:r>
        <w:rPr>
          <w:rFonts w:ascii="Arial" w:cs="Arial" w:eastAsia="Arial" w:hAnsi="Arial"/>
          <w:b/>
          <w:bCs/>
          <w:color w:val="1E3A5F"/>
          <w:sz w:val="26"/>
          <w:szCs w:val="26"/>
        </w:rPr>
        <w:t xml:space="preserve">6.12  Risk Score PAC: integración evento–noche  (NB07, Bloque D)</w:t>
      </w:r>
    </w:p>
    <w:p>
      <w:pPr>
        <w:spacing w:after="140" w:line="280"/>
        <w:jc w:val="both"/>
      </w:pPr>
      <w:r>
        <w:rPr>
          <w:rFonts w:ascii="Arial" w:cs="Arial" w:eastAsia="Arial" w:hAnsi="Arial"/>
          <w:sz w:val="22"/>
          <w:szCs w:val="22"/>
        </w:rPr>
        <w:t xml:space="preserve">El módulo final de NB07 (Bloque D) integra los dos componentes predictivos en un índice continuo de riesgo fisiológico nocturno: el Risk Score PAC, normalizado a la escala 0–100. El score combina el componente de evento (40 %) —media de las probabilidades de evento severo estimadas por el LightGBM a lo largo de la noche, normalizada al percentil 99— con el componente nocturno (60 %) —probabilidad de riesgo alto estimada por la regresión logística binaria—. La Tabla 6.9 sintetiza la composición.</w:t>
      </w:r>
    </w:p>
    <w:p>
      <w:pPr>
        <w:spacing w:after="80" w:before="280"/>
      </w:pPr>
      <w:r>
        <w:rPr>
          <w:rFonts w:ascii="Arial" w:cs="Arial" w:eastAsia="Arial" w:hAnsi="Arial"/>
          <w:b/>
          <w:bCs/>
          <w:color w:val="1E3A5F"/>
          <w:sz w:val="20"/>
          <w:szCs w:val="20"/>
        </w:rPr>
        <w:t xml:space="preserve">Tabla 6.9. Composición del Risk Score PAC (escala 0–100).</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000"/>
        <w:gridCol w:w="2466"/>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Componente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Fuente</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Peso</w:t>
            </w:r>
          </w:p>
        </w:tc>
        <w:tc>
          <w:tcPr>
            <w:tcW w:type="dxa" w:w="24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AUC 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Score de evento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B — LightGBM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40 %</w:t>
            </w:r>
          </w:p>
        </w:tc>
        <w:tc>
          <w:tcPr>
            <w:tcW w:type="dxa" w:w="24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0,878</w:t>
            </w:r>
          </w:p>
        </w:tc>
      </w:tr>
      <w:tr>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Score de noche</w:t>
            </w:r>
          </w:p>
        </w:tc>
        <w:tc>
          <w:tcPr>
            <w:tcW w:type="dxa" w:w="3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C — Regresión logística</w:t>
            </w:r>
          </w:p>
        </w:tc>
        <w:tc>
          <w:tcPr>
            <w:tcW w:type="dxa" w:w="1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60 %</w:t>
            </w:r>
          </w:p>
        </w:tc>
        <w:tc>
          <w:tcPr>
            <w:tcW w:type="dxa" w:w="24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0,905</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Fórmula: Risk Score = (0,40 × p_ev_norm + 0,60 × p_high_risk_night) × 100. Etiquetas: Bajo (&lt; 30), Moderado (30–60), Alto (&gt; 60). Origen: NB07, Bloque D.</w:t>
      </w:r>
    </w:p>
    <w:p>
      <w:pPr>
        <w:spacing w:after="140" w:line="280"/>
        <w:jc w:val="both"/>
      </w:pPr>
      <w:r>
        <w:rPr>
          <w:rFonts w:ascii="Arial" w:cs="Arial" w:eastAsia="Arial" w:hAnsi="Arial"/>
          <w:sz w:val="22"/>
          <w:szCs w:val="22"/>
        </w:rPr>
        <w:t xml:space="preserve">La asignación de pesos 40/60 responde a una decisión heurística basada en el rendimiento relativo de los dos componentes y en consideraciones de representatividad fisiológica, no a una optimización formal. El componente nocturno recibe mayor peso (60 %) por su AUC superior (0,905 frente a 0,878), su naturaleza global —condensa la arquitectura completa de la noche— y su menor sensibilidad al ruido de señal en ventanas individuales. La elección 40/60 no fue sometida a análisis de sensibilidad formal; este aspecto está reconocido como limitación en §6.15.</w:t>
      </w:r>
    </w:p>
    <w:p>
      <w:pPr>
        <w:spacing w:after="140" w:line="280"/>
        <w:jc w:val="both"/>
      </w:pPr>
      <w:r>
        <w:rPr>
          <w:rFonts w:ascii="Arial" w:cs="Arial" w:eastAsia="Arial" w:hAnsi="Arial"/>
          <w:sz w:val="22"/>
          <w:szCs w:val="22"/>
        </w:rPr>
        <w:t xml:space="preserve">La distribución del score muestra un gradiente claro y monótono: medianas de 29,2 (Normal), 29,4 (Leve), 72,9 (Moderado) y 81,0 (Severo). El umbral de 60 puntos identifica el 100 % de las noches Severas y el 77,6 % de las Moderadas como de alto riesgo, con una tasa de falsos positivos del 9,4 % en Leve y del 0 % en Normal.</w:t>
      </w:r>
    </w:p>
    <w:p>
      <w:pPr>
        <w:spacing w:after="0" w:before="120"/>
        <w:jc w:val="center"/>
      </w:pPr>
      <w:r>
        <w:drawing>
          <wp:inline distT="0" distB="0" distL="0" distR="0">
            <wp:extent cx="5238750" cy="2009775"/>
            <wp:effectExtent t="0" r="0" b="0" l="0"/>
            <wp:docPr id="1" name="Distribucion Risk Score PAC por categoria AASM" descr="Distribucion Risk Score PAC por categoria AASM" title="Distribucion Risk Score PAC por categoria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20097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6.13. </w:t>
      </w:r>
      <w:r>
        <w:rPr>
          <w:rFonts w:ascii="Arial" w:cs="Arial" w:eastAsia="Arial" w:hAnsi="Arial"/>
          <w:i/>
          <w:iCs/>
          <w:sz w:val="20"/>
          <w:szCs w:val="20"/>
        </w:rPr>
        <w:t xml:space="preserve">Distribución del Risk Score PAC (0–100) por categoría clínica AASM. Panel izquierdo: boxplot con los umbrales de 30 y 60 puntos. Panel derecho: distribución proporcional de etiquetas Bajo/Moderado/Alto por categoría. El gradiente de medianas (29,2 → 29,4 → 72,9 → 81,0) es claro y monótono.</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D. n = 494 noches. El 100 % de las Severas superan el umbral 60; el 77,6 % de las Moderadas; el 9,4 % de las Leves; el 0 % de las Normales.</w:t>
      </w:r>
    </w:p>
    <w:p>
      <w:pPr>
        <w:spacing w:after="0" w:before="120"/>
        <w:jc w:val="center"/>
      </w:pPr>
      <w:r>
        <w:drawing>
          <wp:inline distT="0" distB="0" distL="0" distR="0">
            <wp:extent cx="5238750" cy="2009775"/>
            <wp:effectExtent t="0" r="0" b="0" l="0"/>
            <wp:docPr id="1" name="Calibracion Risk Score PAC vs probabilidades componentes" descr="Calibracion Risk Score PAC vs probabilidades componentes" title="Calibracion Risk Score PAC vs probabilidades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38750" cy="20097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6.14. </w:t>
      </w:r>
      <w:r>
        <w:rPr>
          <w:rFonts w:ascii="Arial" w:cs="Arial" w:eastAsia="Arial" w:hAnsi="Arial"/>
          <w:i/>
          <w:iCs/>
          <w:sz w:val="20"/>
          <w:szCs w:val="20"/>
        </w:rPr>
        <w:t xml:space="preserve">Calibración del Risk Score PAC. Panel izquierdo: score versus probabilidad del componente nocturno p(alto riesgo) × 100. Panel derecho: score versus probabilidad media de evento severo p_severo_mean × 100. Los colores representan las cuatro categorías AASM. La separación entre grupos Moderado+Severo (rojo/violeta) y Normal+Leve (azul/verde) es clara en ambos paneles.</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D. n = 494 noches.</w:t>
      </w:r>
    </w:p>
    <w:p>
      <w:pPr>
        <w:pStyle w:val="Heading2"/>
        <w:spacing w:after="140" w:before="300"/>
      </w:pPr>
      <w:r>
        <w:rPr>
          <w:rFonts w:ascii="Arial" w:cs="Arial" w:eastAsia="Arial" w:hAnsi="Arial"/>
          <w:b/>
          <w:bCs/>
          <w:color w:val="1E3A5F"/>
          <w:sz w:val="26"/>
          <w:szCs w:val="26"/>
        </w:rPr>
        <w:t xml:space="preserve">6.13  Significado clínico del modelo predictivo PAC</w:t>
      </w:r>
    </w:p>
    <w:p>
      <w:pPr>
        <w:spacing w:after="140" w:line="280"/>
        <w:jc w:val="both"/>
      </w:pPr>
      <w:r>
        <w:rPr>
          <w:rFonts w:ascii="Arial" w:cs="Arial" w:eastAsia="Arial" w:hAnsi="Arial"/>
          <w:sz w:val="22"/>
          <w:szCs w:val="22"/>
        </w:rPr>
        <w:t xml:space="preserve">El aporte clínico de este capítulo no reside únicamente en los valores de AUC o en el rendimiento de los clasificadores. Su contribución principal es mostrar que la fisiología nocturna puede representarse como un sistema dinámico con estructura predictiva. En lugar de reducir la noche a un conteo final de eventos, el sistema PAC permite describir cómo se organiza el riesgo a lo largo del tiempo: qué eventos emergen en contextos patológicos, con qué frecuencia el organismo se recupera de ellos, qué trayectoria sigue la noche y qué nivel de vulnerabilidad fisiológica acumulada puede estimarse una vez completada.</w:t>
      </w:r>
    </w:p>
    <w:p>
      <w:pPr>
        <w:spacing w:after="140" w:line="280"/>
        <w:jc w:val="both"/>
      </w:pPr>
      <w:r>
        <w:rPr>
          <w:rFonts w:ascii="Arial" w:cs="Arial" w:eastAsia="Arial" w:hAnsi="Arial"/>
          <w:sz w:val="22"/>
          <w:szCs w:val="22"/>
        </w:rPr>
        <w:t xml:space="preserve">En términos traslacionales, los dos módulos predictivos tienen utilidades distintas y complementarias. El módulo de evento (AUC = 0,878), con lead time de ≈5 min (equivalente a la escala M del sistema PAC), tiene potencial en sistemas de monitoreo continuo activo, como CPAP adaptativo. El módulo nocturno (AUC = 0,905) opera en modo retrospectivo, siendo valioso para fenotipado post-diagnóstico, seguimiento longitudinal de respuesta terapéutica y priorización de pacientes en ensayos. El subgrupo de SAOS Moderado con fenotipo Carga Hipóxica Alta (§6.7) ilustra el valor del Risk Score PAC: estos pacientes presentarían scores elevados pese a un AHI convencional moderado, ya que su arquitectura nocturna está fisiológicamente colapsada. En ambos casos, la viabilidad clínica real depende de validación prospectiva en cohorte externa con polisomnografía completa.</w:t>
      </w:r>
    </w:p>
    <w:p>
      <w:pPr>
        <w:pStyle w:val="Heading2"/>
        <w:spacing w:after="140" w:before="300"/>
      </w:pPr>
      <w:r>
        <w:rPr>
          <w:rFonts w:ascii="Arial" w:cs="Arial" w:eastAsia="Arial" w:hAnsi="Arial"/>
          <w:b/>
          <w:bCs/>
          <w:color w:val="1E3A5F"/>
          <w:sz w:val="26"/>
          <w:szCs w:val="26"/>
        </w:rPr>
        <w:t xml:space="preserve">6.14  Relación con los capítulos previos</w:t>
      </w:r>
    </w:p>
    <w:p>
      <w:pPr>
        <w:spacing w:after="140" w:line="280"/>
        <w:jc w:val="both"/>
      </w:pPr>
      <w:r>
        <w:rPr>
          <w:rFonts w:ascii="Arial" w:cs="Arial" w:eastAsia="Arial" w:hAnsi="Arial"/>
          <w:sz w:val="22"/>
          <w:szCs w:val="22"/>
        </w:rPr>
        <w:t xml:space="preserve">El Capítulo 6 funciona como síntesis predictiva de los dos capítulos analíticos precedentes. El Capítulo 4 demostró que los EDOs presentan morfologías distintas (C1–C5) y que los morfotipos severos (C4, C5) concentran mayor profundidad de caída, mayor carga hipóxica y mayor respuesta autonómica. El Capítulo 5 demostró que la noche se organiza en estados dinámicos a tres escalas, con especialización funcional. El presente capítulo integra ambas dimensiones: el evento se interpreta en el contexto del estado que lo aloja, y el estado adquiere valor predictivo por la forma en que modula la morfología de los eventos que contiene.</w:t>
      </w:r>
    </w:p>
    <w:p>
      <w:pPr>
        <w:spacing w:after="140" w:line="280"/>
        <w:jc w:val="both"/>
      </w:pPr>
      <w:r>
        <w:rPr>
          <w:rFonts w:ascii="Arial" w:cs="Arial" w:eastAsia="Arial" w:hAnsi="Arial"/>
          <w:sz w:val="22"/>
          <w:szCs w:val="22"/>
        </w:rPr>
        <w:t xml:space="preserve">Los PAC States, construidos de forma completamente no supervisada sobre señales de SpO₂, FC y movimiento, emergen como el grupo predictor dominante en la clasificación de severidad nocturna (44,8 % de la importancia total). La predicción emerge naturalmente de la representación, no como un módulo externo añadido, sino como consecuencia de haber estructurado la complejidad fisiológica en capas de abstracción creciente.</w:t>
      </w:r>
    </w:p>
    <w:p>
      <w:pPr>
        <w:pStyle w:val="Heading2"/>
        <w:spacing w:after="140" w:before="300"/>
      </w:pPr>
      <w:r>
        <w:rPr>
          <w:rFonts w:ascii="Arial" w:cs="Arial" w:eastAsia="Arial" w:hAnsi="Arial"/>
          <w:b/>
          <w:bCs/>
          <w:color w:val="1E3A5F"/>
          <w:sz w:val="26"/>
          <w:szCs w:val="26"/>
        </w:rPr>
        <w:t xml:space="preserve">6.15  Limitaciones</w:t>
      </w:r>
    </w:p>
    <w:p>
      <w:pPr>
        <w:spacing w:after="140" w:line="280"/>
        <w:jc w:val="both"/>
      </w:pPr>
      <w:r>
        <w:rPr>
          <w:rFonts w:ascii="Arial" w:cs="Arial" w:eastAsia="Arial" w:hAnsi="Arial"/>
          <w:sz w:val="22"/>
          <w:szCs w:val="22"/>
        </w:rPr>
        <w:t xml:space="preserve">Los resultados de este capítulo deben interpretarse en el contexto de una cohorte reducida en número de pacientes. Con n = 8 en la cohorte estricta, el LOPO-CV produce ocho puntos de rendimiento independientes: suficientes para estimar tendencias, no para estimar distribuciones con precisión. La varianza de las métricas entre folds es considerable (balanced accuracy en NB06: 0,469 ± 0,259; AUC de evento por fold en NB07: 0,798–0,964), reflejando heterogeneidad fisiológica real entre pacientes. Los resultados deben considerarse señales de factibilidad con magnitud de efecto estimable, no métricas para certificación clínica.</w:t>
      </w:r>
    </w:p>
    <w:p>
      <w:pPr>
        <w:spacing w:after="140" w:line="280"/>
        <w:jc w:val="both"/>
      </w:pPr>
      <w:r>
        <w:rPr>
          <w:rFonts w:ascii="Arial" w:cs="Arial" w:eastAsia="Arial" w:hAnsi="Arial"/>
          <w:sz w:val="22"/>
          <w:szCs w:val="22"/>
        </w:rPr>
        <w:t xml:space="preserve">La asignación de pesos en el Risk Score PAC (40/60) fue una decisión heurística no sometida a análisis de sensibilidad formal ni a optimización mediante validación cruzada anidada. Variaciones en el rango 30/70–50/50 producirían distribuciones de scores con gradiente AASM igualmente claro, aunque con distintos umbrales óptimos de corte. Este aspecto requiere evaluación en trabajo futuro con cohorte más amplia.</w:t>
      </w:r>
    </w:p>
    <w:p>
      <w:pPr>
        <w:spacing w:after="140" w:line="280"/>
        <w:jc w:val="both"/>
      </w:pPr>
      <w:r>
        <w:rPr>
          <w:rFonts w:ascii="Arial" w:cs="Arial" w:eastAsia="Arial" w:hAnsi="Arial"/>
          <w:sz w:val="22"/>
          <w:szCs w:val="22"/>
        </w:rPr>
        <w:t xml:space="preserve">La ausencia de polisomnografía concurrente limita la interpretación de algunos fenómenos. Sin EEG, no es posible asignar estadios NREM/REM ni microdespertares corticales con precisión formal. Las etiquetas de estadio del SOMNI 6000 son estimaciones basadas en FC y movimiento, validadas como discriminadoras de vigilia versus sueño pero no como sustitutos de la estadificación polisomnográfica (§3.2). Finalmente, el Risk Score PAC no es aún una herramienta clínica validada. Para transformarlo en herramienta de uso clínico sería necesario evaluar calibración externa, reproducibilidad, asociación con outcomes clínicos y utilidad incremental frente a índices establecidos.</w:t>
      </w:r>
    </w:p>
    <w:p>
      <w:pPr>
        <w:pStyle w:val="Heading2"/>
        <w:spacing w:after="140" w:before="300"/>
      </w:pPr>
      <w:r>
        <w:rPr>
          <w:rFonts w:ascii="Arial" w:cs="Arial" w:eastAsia="Arial" w:hAnsi="Arial"/>
          <w:b/>
          <w:bCs/>
          <w:color w:val="1E3A5F"/>
          <w:sz w:val="26"/>
          <w:szCs w:val="26"/>
        </w:rPr>
        <w:t xml:space="preserve">6.16  Conclusión</w:t>
      </w:r>
    </w:p>
    <w:p>
      <w:pPr>
        <w:spacing w:after="140" w:line="280"/>
        <w:jc w:val="both"/>
      </w:pPr>
      <w:r>
        <w:rPr>
          <w:rFonts w:ascii="Arial" w:cs="Arial" w:eastAsia="Arial" w:hAnsi="Arial"/>
          <w:sz w:val="22"/>
          <w:szCs w:val="22"/>
        </w:rPr>
        <w:t xml:space="preserve">El análisis de acoplamiento, dinámica Markoviana, trayectorias nocturnas y modelos predictivos confirma la hipótesis de trabajo: la severidad de un evento de desaturación no depende únicamente de sus propiedades internas, sino también del estado fisiológico dinámico en que ocurre. El estado S6 multiplica por 4,9 la probabilidad de observar un evento severo; M1 por 3,3; L0 por 2,0. La resiliencia posterior decrece dramáticamente con la escala temporal: del 43,3 % a escala S al 1,3 % a escala L. El sistema hipóxico muestra inercia creciente: lo que ocurre a 30 segundos puede revertirse; lo que ocurre dentro de una arquitectura de 30 minutos, prácticamente no.</w:t>
      </w:r>
    </w:p>
    <w:p>
      <w:pPr>
        <w:spacing w:after="140" w:line="280"/>
        <w:jc w:val="both"/>
      </w:pPr>
      <w:r>
        <w:rPr>
          <w:rFonts w:ascii="Arial" w:cs="Arial" w:eastAsia="Arial" w:hAnsi="Arial"/>
          <w:sz w:val="22"/>
          <w:szCs w:val="22"/>
        </w:rPr>
        <w:t xml:space="preserve">Los modelos predictivos cuantifican el valor de las representaciones PAC. La clasificación de riesgo nocturno binario alcanza AUC = 0,905 (AP = 0,834 frente a baseline 0,348), con las fracciones de estados M como variables dominantes. La predicción de evento severo alcanza AUC = 0,878 (mejora AP = 4,3× sobre baseline de 5,56 %), con las variables de contexto acumulado como predictores principales. En ambos casos, los PAC States emergieron como el grupo de features más informativo, construido de forma completamente no supervisada a partir de señales de oximetría domiciliaria.</w:t>
      </w:r>
    </w:p>
    <w:p>
      <w:pPr>
        <w:spacing w:after="140" w:line="280"/>
        <w:jc w:val="both"/>
      </w:pPr>
      <w:r>
        <w:rPr>
          <w:rFonts w:ascii="Arial" w:cs="Arial" w:eastAsia="Arial" w:hAnsi="Arial"/>
          <w:sz w:val="22"/>
          <w:szCs w:val="22"/>
        </w:rPr>
        <w:t xml:space="preserve">PAC transforma la noche en una trayectoria fisiológica interpretable. Esa trayectoria permite identificar vulnerabilidad acumulada, persistencia patológica, resiliencia y riesgo integrado. Este capítulo consolida el pasaje desde una medicina del conteo de eventos hacia una medicina de la dinámica nocturna: la información clínicamente relevante no se encuentra solo en cuántos eventos ocurrieron, sino también en cómo se organizaron, en qué contexto aparecieron y qué capacidad de recuperación mostró el organismo frente a ellos. El paso siguiente consiste en traducir esta representación predictiva en una herramienta visual e interpretable para uso clínico y exploratorio.</w:t>
      </w:r>
    </w:p>
    <w:p>
      <w:pPr>
        <w:pStyle w:val="Heading2"/>
        <w:spacing w:after="140" w:before="300"/>
      </w:pPr>
      <w:r>
        <w:rPr>
          <w:rFonts w:ascii="Arial" w:cs="Arial" w:eastAsia="Arial" w:hAnsi="Arial"/>
          <w:b/>
          <w:bCs/>
          <w:color w:val="1E3A5F"/>
          <w:sz w:val="26"/>
          <w:szCs w:val="26"/>
        </w:rPr>
        <w:t xml:space="preserve">Referencias</w:t>
      </w:r>
    </w:p>
    <w:p>
      <w:pPr>
        <w:spacing w:after="140" w:line="280"/>
        <w:jc w:val="both"/>
      </w:pPr>
      <w:r>
        <w:rPr>
          <w:rFonts w:ascii="Arial" w:cs="Arial" w:eastAsia="Arial" w:hAnsi="Arial"/>
          <w:sz w:val="22"/>
          <w:szCs w:val="22"/>
        </w:rPr>
        <w:t xml:space="preserve">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pPr>
        <w:spacing w:after="140" w:line="280"/>
        <w:jc w:val="both"/>
      </w:pPr>
      <w:r>
        <w:rPr>
          <w:rFonts w:ascii="Arial" w:cs="Arial" w:eastAsia="Arial" w:hAnsi="Arial"/>
          <w:sz w:val="22"/>
          <w:szCs w:val="22"/>
        </w:rPr>
        <w:t xml:space="preserve">Berry, R. B., Budhiraja, R., Gottlieb, D. J., Gozal, D., Iber, C., Kapur, V. K., ... &amp; Tangredi, M. M. (2012). Rules for scoring respiratory events in sleep: update of the 2007 AASM Manual for Scoring of Sleep. Journal of Clinical Sleep Medicine, 8(5), 597–619. https://doi.org/10.5664/jcsm.2172</w:t>
      </w:r>
    </w:p>
    <w:p>
      <w:pPr>
        <w:spacing w:after="140" w:line="280"/>
        <w:jc w:val="both"/>
      </w:pPr>
      <w:r>
        <w:rPr>
          <w:rFonts w:ascii="Arial" w:cs="Arial" w:eastAsia="Arial" w:hAnsi="Arial"/>
          <w:sz w:val="22"/>
          <w:szCs w:val="22"/>
        </w:rPr>
        <w:t xml:space="preserve">Inza, R., et al. (en preparación). Fenotipado morfológico y respuesta autonómica en eventos de desaturación nocturna: el Índice de Reactividad Autonómica (ARI). [T1]</w:t>
      </w:r>
    </w:p>
    <w:p>
      <w:pPr>
        <w:spacing w:after="140" w:line="280"/>
        <w:jc w:val="both"/>
      </w:pPr>
      <w:r>
        <w:rPr>
          <w:rFonts w:ascii="Arial" w:cs="Arial" w:eastAsia="Arial" w:hAnsi="Arial"/>
          <w:sz w:val="22"/>
          <w:szCs w:val="22"/>
        </w:rPr>
        <w:t xml:space="preserve">Inza, R., et al. (en preparación). Estados dinámicos multiescala de la fisiología respiratoria nocturna: morfotipos, carga hipóxica y reactividad autonómica. [T2]</w:t>
      </w:r>
    </w:p>
    <w:p>
      <w:pPr>
        <w:spacing w:after="140" w:line="280"/>
        <w:jc w:val="both"/>
      </w:pPr>
      <w:r>
        <w:rPr>
          <w:rFonts w:ascii="Arial" w:cs="Arial" w:eastAsia="Arial" w:hAnsi="Arial"/>
          <w:sz w:val="22"/>
          <w:szCs w:val="22"/>
        </w:rPr>
        <w:t xml:space="preserve">Inza, R., et al. (en preparación). Acoplamiento evento–estado, trayectorias nocturnas y predicción de severidad en SAOS: el sistema PAC. [T3]</w:t>
      </w:r>
    </w:p>
    <w:p>
      <w:pPr>
        <w:spacing w:after="140" w:line="280"/>
        <w:jc w:val="both"/>
      </w:pPr>
      <w:r>
        <w:rPr>
          <w:rFonts w:ascii="Arial" w:cs="Arial" w:eastAsia="Arial" w:hAnsi="Arial"/>
          <w:sz w:val="22"/>
          <w:szCs w:val="22"/>
        </w:rPr>
        <w:t xml:space="preserve">Landis, J. R., &amp; Koch, G. G. (1977). The measurement of observer agreement for categorical data. Biometrics, 33(1), 159–174. https://doi.org/10.2307/2529310</w:t>
      </w:r>
    </w:p>
    <w:p>
      <w:pPr>
        <w:spacing w:after="140" w:line="280"/>
        <w:jc w:val="both"/>
      </w:pPr>
      <w:r>
        <w:rPr>
          <w:rFonts w:ascii="Arial" w:cs="Arial" w:eastAsia="Arial" w:hAnsi="Arial"/>
          <w:sz w:val="22"/>
          <w:szCs w:val="22"/>
        </w:rPr>
        <w:t xml:space="preserve">Lévy, P., Kohler, M., McNicholas, W. T., Barbé, F., McEvoy, R. D., Somers, V. K., ... &amp; Pépin, J.-L. (2015). Obstructive sleep apnoea syndrome. Nature Reviews Disease Primers, 1, 15015. https://doi.org/10.1038/nrdp.2015.15</w:t>
      </w:r>
    </w:p>
    <w:p>
      <w:pPr>
        <w:spacing w:after="140" w:line="280"/>
        <w:jc w:val="both"/>
      </w:pPr>
      <w:r>
        <w:rPr>
          <w:rFonts w:ascii="Arial" w:cs="Arial" w:eastAsia="Arial" w:hAnsi="Arial"/>
          <w:sz w:val="22"/>
          <w:szCs w:val="22"/>
        </w:rPr>
        <w:t xml:space="preserve">Wasserstein, R. L., &amp; Lazar, N. A. (2016). The ASA statement on p-values: context, process, and purpose. The American Statistician, 70(2), 129–133. https://doi.org/10.1080/00031305.2016.1154108</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30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7e15e94990bee57b305d4d6bad925448f31315.png"/><Relationship Id="rId8" Type="http://schemas.openxmlformats.org/officeDocument/2006/relationships/image" Target="media/72fd25bdab5304ae152bf7327f9d3f01c2eb5a36.png"/><Relationship Id="rId9" Type="http://schemas.openxmlformats.org/officeDocument/2006/relationships/image" Target="media/ec46058aedc3c582849c348d5487a3e8f7b9f115.png"/><Relationship Id="rId10" Type="http://schemas.openxmlformats.org/officeDocument/2006/relationships/image" Target="media/30ed65e704d426f7c0b6ae535a321183d9c86d0f.png"/><Relationship Id="rId11" Type="http://schemas.openxmlformats.org/officeDocument/2006/relationships/image" Target="media/07b91d879430d821ce956cd93c5354177e393008.png"/><Relationship Id="rId12" Type="http://schemas.openxmlformats.org/officeDocument/2006/relationships/image" Target="media/ded81fafbd9a40f231b82061e73cc7b7a773c3d8.png"/><Relationship Id="rId13" Type="http://schemas.openxmlformats.org/officeDocument/2006/relationships/image" Target="media/5f0f2fbb2fc794102537bf8da81eb8bfae0dae3e.png"/><Relationship Id="rId14" Type="http://schemas.openxmlformats.org/officeDocument/2006/relationships/image" Target="media/3bfa06e85ce23b7150935be73d586595119a9841.png"/><Relationship Id="rId15" Type="http://schemas.openxmlformats.org/officeDocument/2006/relationships/image" Target="media/63cdd01e4519bc4068c50c4aeff9ffc23434739d.png"/><Relationship Id="rId16" Type="http://schemas.openxmlformats.org/officeDocument/2006/relationships/image" Target="media/e7af4f3a50502b35c6e5bd322745a2c55f1cad5d.png"/><Relationship Id="rId17" Type="http://schemas.openxmlformats.org/officeDocument/2006/relationships/image" Target="media/6baea437ae82781a281acb37996d17ef4dc6cf04.png"/><Relationship Id="rId18" Type="http://schemas.openxmlformats.org/officeDocument/2006/relationships/image" Target="media/878dd104acded6ace186bd479cb48afe88466705.png"/><Relationship Id="rId19" Type="http://schemas.openxmlformats.org/officeDocument/2006/relationships/image" Target="media/80ad12abeb479142fb374260ae0f08a2be524299.png"/><Relationship Id="rId20" Type="http://schemas.openxmlformats.org/officeDocument/2006/relationships/image" Target="media/4f39ef2d3bbb30debb21d28e09b5ce4e5500e358.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2026-05-26T23:06:08.530Z</dcterms:created>
  <dcterms:modified xsi:type="dcterms:W3CDTF">2026-05-26T23:06:08.530Z</dcterms:modified>
</cp:coreProperties>
</file>

<file path=docProps/custom.xml><?xml version="1.0" encoding="utf-8"?>
<Properties xmlns="http://schemas.openxmlformats.org/officeDocument/2006/custom-properties" xmlns:vt="http://schemas.openxmlformats.org/officeDocument/2006/docPropsVTypes"/>
</file>