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Arial" w:cs="Arial" w:eastAsia="Arial" w:hAnsi="Arial"/>
          <w:b/>
          <w:bCs/>
          <w:color w:val="1E3A5F"/>
          <w:sz w:val="48"/>
          <w:szCs w:val="48"/>
        </w:rPr>
        <w:t xml:space="preserve">CAPÍTULO 6</w:t>
      </w:r>
    </w:p>
    <w:p>
      <w:pPr>
        <w:spacing w:after="120"/>
      </w:pPr>
      <w:r>
        <w:rPr>
          <w:rFonts w:ascii="Arial" w:cs="Arial" w:eastAsia="Arial" w:hAnsi="Arial"/>
          <w:b/>
          <w:bCs/>
          <w:sz w:val="32"/>
          <w:szCs w:val="32"/>
        </w:rPr>
        <w:t xml:space="preserve">Modelado predictivo basado en PAC: acoplamiento evento–estado, severidad y riesgo fisiológico nocturno</w:t>
      </w:r>
    </w:p>
    <w:p>
      <w:pPr>
        <w:spacing w:after="400"/>
      </w:pPr>
      <w:r>
        <w:rPr>
          <w:rFonts w:ascii="Arial" w:cs="Arial" w:eastAsia="Arial" w:hAnsi="Arial"/>
          <w:i/>
          <w:iCs/>
          <w:color w:val="666666"/>
          <w:sz w:val="22"/>
          <w:szCs w:val="22"/>
        </w:rPr>
        <w:t xml:space="preserve">Versión 4  ·  Mayo 2026</w:t>
      </w:r>
    </w:p>
    <w:p>
      <w:pPr>
        <w:pStyle w:val="Heading2"/>
        <w:spacing w:after="140" w:before="300"/>
      </w:pPr>
      <w:r>
        <w:rPr>
          <w:rFonts w:ascii="Arial" w:cs="Arial" w:eastAsia="Arial" w:hAnsi="Arial"/>
          <w:b/>
          <w:bCs/>
          <w:color w:val="1E3A5F"/>
          <w:sz w:val="26"/>
          <w:szCs w:val="26"/>
        </w:rPr>
        <w:t xml:space="preserve">6.1  Introducción</w:t>
      </w:r>
    </w:p>
    <w:p>
      <w:pPr>
        <w:spacing w:after="140" w:line="280"/>
        <w:jc w:val="both"/>
      </w:pPr>
      <w:r>
        <w:rPr>
          <w:rFonts w:ascii="Arial" w:cs="Arial" w:eastAsia="Arial" w:hAnsi="Arial"/>
          <w:sz w:val="22"/>
          <w:szCs w:val="22"/>
        </w:rPr>
        <w:t xml:space="preserve">Este capítulo integra los resultados de tres notebooks del pipeline PAC_v2.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pPr>
        <w:spacing w:after="140" w:line="280"/>
        <w:jc w:val="both"/>
      </w:pPr>
      <w:r>
        <w:rPr>
          <w:rFonts w:ascii="Arial" w:cs="Arial" w:eastAsia="Arial" w:hAnsi="Arial"/>
          <w:sz w:val="22"/>
          <w:szCs w:val="22"/>
        </w:rP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pPr>
        <w:spacing w:after="140" w:line="280"/>
        <w:jc w:val="both"/>
      </w:pPr>
      <w:r>
        <w:rPr>
          <w:rFonts w:ascii="Arial" w:cs="Arial" w:eastAsia="Arial" w:hAnsi="Arial"/>
          <w:sz w:val="22"/>
          <w:szCs w:val="22"/>
        </w:rPr>
        <w:t xml:space="preserve">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pPr>
        <w:spacing w:after="140" w:line="280"/>
        <w:jc w:val="both"/>
      </w:pPr>
      <w:r>
        <w:rPr>
          <w:rFonts w:ascii="Arial" w:cs="Arial" w:eastAsia="Arial" w:hAnsi="Arial"/>
          <w:sz w:val="22"/>
          <w:szCs w:val="22"/>
        </w:rPr>
        <w:t xml:space="preserve">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pPr>
        <w:pStyle w:val="Heading2"/>
        <w:spacing w:after="140" w:before="300"/>
      </w:pPr>
      <w:r>
        <w:rPr>
          <w:rFonts w:ascii="Arial" w:cs="Arial" w:eastAsia="Arial" w:hAnsi="Arial"/>
          <w:b/>
          <w:bCs/>
          <w:color w:val="1E3A5F"/>
          <w:sz w:val="26"/>
          <w:szCs w:val="26"/>
        </w:rPr>
        <w:t xml:space="preserve">6.2  Datos, cohorte y diseño analítico</w:t>
      </w:r>
    </w:p>
    <w:p>
      <w:pPr>
        <w:spacing w:after="140" w:line="280"/>
        <w:jc w:val="both"/>
      </w:pPr>
      <w:r>
        <w:rPr>
          <w:rFonts w:ascii="Arial" w:cs="Arial" w:eastAsia="Arial" w:hAnsi="Arial"/>
          <w:sz w:val="22"/>
          <w:szCs w:val="22"/>
        </w:rP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pPr>
        <w:spacing w:after="140" w:line="280"/>
        <w:jc w:val="both"/>
      </w:pPr>
      <w:r>
        <w:rPr>
          <w:rFonts w:ascii="Arial" w:cs="Arial" w:eastAsia="Arial" w:hAnsi="Arial"/>
          <w:sz w:val="22"/>
          <w:szCs w:val="22"/>
        </w:rPr>
        <w:t xml:space="preserve">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pPr>
        <w:spacing w:after="140" w:line="280"/>
        <w:jc w:val="both"/>
      </w:pPr>
      <w:r>
        <w:rPr>
          <w:rFonts w:ascii="Arial" w:cs="Arial" w:eastAsia="Arial" w:hAnsi="Arial"/>
          <w:sz w:val="22"/>
          <w:szCs w:val="22"/>
        </w:rPr>
        <w:t xml:space="preserve">La Tabla 6.1 sintetiza los componentes del diseño predictivo del capítulo.</w:t>
      </w:r>
    </w:p>
    <w:p>
      <w:pPr>
        <w:spacing w:after="80" w:before="280"/>
      </w:pPr>
      <w:r>
        <w:rPr>
          <w:rFonts w:ascii="Arial" w:cs="Arial" w:eastAsia="Arial" w:hAnsi="Arial"/>
          <w:b/>
          <w:bCs/>
          <w:color w:val="1E3A5F"/>
          <w:sz w:val="20"/>
          <w:szCs w:val="20"/>
        </w:rPr>
        <w:t xml:space="preserve">Tabla 6.1. Resumen del diseño predictivo del Capítulo 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2200"/>
        <w:gridCol w:w="2066"/>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Nivel</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Tarea predictiva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NB</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2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Cohorte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evento severo C4/C5 (lead time ~5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LightGBM vs. LR basal</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76.053 ev.</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binaria Normal+Leve vs. Mod.+Sev.</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vs. RF</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 pac., 494 noches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multiclase AASM — ablación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540 noches</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Integración</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Índice de riesgo nocturno Risk Score 0–100</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D</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Combinación ponderada</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Cohorte estricta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pPr>
        <w:pStyle w:val="Heading2"/>
        <w:spacing w:after="140" w:before="300"/>
      </w:pPr>
      <w:r>
        <w:rPr>
          <w:rFonts w:ascii="Arial" w:cs="Arial" w:eastAsia="Arial" w:hAnsi="Arial"/>
          <w:b/>
          <w:bCs/>
          <w:color w:val="1E3A5F"/>
          <w:sz w:val="26"/>
          <w:szCs w:val="26"/>
        </w:rPr>
        <w:t xml:space="preserve">6.3  Acoplamiento morfotipo–estado PAC  (NB05, Sección 2)</w:t>
      </w:r>
    </w:p>
    <w:p>
      <w:pPr>
        <w:spacing w:after="140" w:line="280"/>
        <w:jc w:val="both"/>
      </w:pPr>
      <w:r>
        <w:rPr>
          <w:rFonts w:ascii="Arial" w:cs="Arial" w:eastAsia="Arial" w:hAnsi="Arial"/>
          <w:sz w:val="22"/>
          <w:szCs w:val="22"/>
        </w:rP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pPr>
        <w:spacing w:after="140" w:line="280"/>
        <w:jc w:val="both"/>
      </w:pPr>
      <w:r>
        <w:rPr>
          <w:rFonts w:ascii="Arial" w:cs="Arial" w:eastAsia="Arial" w:hAnsi="Arial"/>
          <w:sz w:val="22"/>
          <w:szCs w:val="22"/>
        </w:rPr>
        <w:t xml:space="preserve">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pPr>
        <w:spacing w:after="140" w:line="280"/>
        <w:jc w:val="both"/>
      </w:pPr>
      <w:r>
        <w:rPr>
          <w:rFonts w:ascii="Arial" w:cs="Arial" w:eastAsia="Arial" w:hAnsi="Arial"/>
          <w:sz w:val="22"/>
          <w:szCs w:val="22"/>
        </w:rPr>
        <w:t xml:space="preserve">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pPr>
        <w:spacing w:after="80" w:before="280"/>
      </w:pPr>
      <w:r>
        <w:rPr>
          <w:rFonts w:ascii="Arial" w:cs="Arial" w:eastAsia="Arial" w:hAnsi="Arial"/>
          <w:b/>
          <w:bCs/>
          <w:color w:val="1E3A5F"/>
          <w:sz w:val="20"/>
          <w:szCs w:val="20"/>
        </w:rPr>
        <w:t xml:space="preserve">Tabla 6.2. Riesgo relativo de evento severo según estado PAC patológico.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1800"/>
        <w:gridCol w:w="176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 de mayor riesgo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marginal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 estado)</w:t>
            </w:r>
          </w:p>
        </w:tc>
        <w:tc>
          <w:tcPr>
            <w:tcW w:type="dxa" w:w="17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28,1 %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4,9×</w:t>
            </w:r>
          </w:p>
        </w:tc>
      </w:tr>
      <w:tr>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18,9 %</w:t>
            </w:r>
          </w:p>
        </w:tc>
        <w:tc>
          <w:tcPr>
            <w:tcW w:type="dxa" w:w="17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11,5 %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P(severo) marginal = 5,73 % (4.602 eventos C4+C5 / 80.353 totales, 12 pacientes). RR = P(severo | estado) / P(severo) marginal. Origen: NB05, Sección 2.</w:t>
      </w:r>
    </w:p>
    <w:p>
      <w:pPr>
        <w:spacing w:after="0" w:before="120"/>
        <w:jc w:val="center"/>
      </w:pPr>
      <w:r>
        <w:drawing>
          <wp:inline distT="0" distB="0" distL="0" distR="0">
            <wp:extent cx="5238750" cy="1714500"/>
            <wp:effectExtent t="0" r="0" b="0" l="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17145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 </w:t>
      </w:r>
      <w:r>
        <w:rPr>
          <w:rFonts w:ascii="Arial" w:cs="Arial" w:eastAsia="Arial" w:hAnsi="Arial"/>
          <w:i/>
          <w:iCs/>
          <w:sz w:val="20"/>
          <w:szCs w:val="20"/>
        </w:rPr>
        <w:t xml:space="preserve">Distribución condicional P(morfotipo | estado PAC) en las tres escalas. Los estados patológicos (S6, M1, L0) concentran una proporción marcadamente superior de morfotipos C4 o C5. V de Cramér: S = 0,354; M = 0,230; L = 0,196.</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n = 80.353 eventos, cohorte in_strict (12 pacientes).</w:t>
      </w:r>
    </w:p>
    <w:p>
      <w:pPr>
        <w:spacing w:after="0" w:before="120"/>
        <w:jc w:val="center"/>
      </w:pPr>
      <w:r>
        <w:drawing>
          <wp:inline distT="0" distB="0" distL="0" distR="0">
            <wp:extent cx="5238750" cy="1533525"/>
            <wp:effectExtent t="0" r="0" b="0" l="0"/>
            <wp:docPr id="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5335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6.2. </w:t>
      </w:r>
      <w:r>
        <w:rPr>
          <w:rFonts w:ascii="Arial" w:cs="Arial" w:eastAsia="Arial" w:hAnsi="Arial"/>
          <w:i/>
          <w:iCs/>
          <w:sz w:val="20"/>
          <w:szCs w:val="20"/>
        </w:rPr>
        <w:t xml:space="preserve">Riesgo relativo (RR) de evento severo por estado PAC en las tres escalas. Los estados patológicos S6, M1 y L0 presentan los RR más elevados. La magnitud del RR decrece con la escala temporal de forma consistente con la disminución de V de Cramér.</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P(severo) marginal = 5,73 %. n = 80.353 eventos, 12 pacientes.</w:t>
      </w:r>
    </w:p>
    <w:p>
      <w:pPr>
        <w:pStyle w:val="Heading2"/>
        <w:spacing w:after="140" w:before="300"/>
      </w:pPr>
      <w:r>
        <w:rPr>
          <w:rFonts w:ascii="Arial" w:cs="Arial" w:eastAsia="Arial" w:hAnsi="Arial"/>
          <w:b/>
          <w:bCs/>
          <w:color w:val="1E3A5F"/>
          <w:sz w:val="26"/>
          <w:szCs w:val="26"/>
        </w:rPr>
        <w:t xml:space="preserve">6.4  Coupling Index: cuantificación nocturna del acoplamiento patológico  (NB05, Sección 3)</w:t>
      </w:r>
    </w:p>
    <w:p>
      <w:pPr>
        <w:spacing w:after="140" w:line="280"/>
        <w:jc w:val="both"/>
      </w:pPr>
      <w:r>
        <w:rPr>
          <w:rFonts w:ascii="Arial" w:cs="Arial" w:eastAsia="Arial" w:hAnsi="Arial"/>
          <w:sz w:val="22"/>
          <w:szCs w:val="22"/>
        </w:rPr>
        <w:t xml:space="preserve">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pPr>
        <w:spacing w:after="140" w:line="280"/>
        <w:jc w:val="both"/>
      </w:pPr>
      <w:r>
        <w:rPr>
          <w:rFonts w:ascii="Arial" w:cs="Arial" w:eastAsia="Arial" w:hAnsi="Arial"/>
          <w:sz w:val="22"/>
          <w:szCs w:val="22"/>
        </w:rPr>
        <w:t xml:space="preserve">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pPr>
        <w:spacing w:after="80" w:before="280"/>
      </w:pPr>
      <w:r>
        <w:rPr>
          <w:rFonts w:ascii="Arial" w:cs="Arial" w:eastAsia="Arial" w:hAnsi="Arial"/>
          <w:b/>
          <w:bCs/>
          <w:color w:val="1E3A5F"/>
          <w:sz w:val="20"/>
          <w:szCs w:val="20"/>
        </w:rPr>
        <w:t xml:space="preserve">Tabla 6.3. Definición operativa del Coupling Index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100"/>
        <w:gridCol w:w="286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Estados patológicos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Correlación cruzada</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 fisiológica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S2, S4, S6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microdinámica evento a evento</w:t>
            </w:r>
          </w:p>
        </w:tc>
      </w:tr>
      <w:tr>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 M3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r(ci_s, ci_m) = 0,056</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regulación intermedia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 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r(ci_m, ci_l) = 0,364</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arquitectura nocturna global</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w:t>
      </w:r>
    </w:p>
    <w:p>
      <w:pPr>
        <w:spacing w:after="0" w:before="120"/>
        <w:jc w:val="center"/>
      </w:pPr>
      <w:r>
        <w:drawing>
          <wp:inline distT="0" distB="0" distL="0" distR="0">
            <wp:extent cx="5238750" cy="1628775"/>
            <wp:effectExtent t="0" r="0" b="0" l="0"/>
            <wp:docPr id="1"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6.3. </w:t>
      </w:r>
      <w:r>
        <w:rPr>
          <w:rFonts w:ascii="Arial" w:cs="Arial" w:eastAsia="Arial" w:hAnsi="Arial"/>
          <w:i/>
          <w:iCs/>
          <w:sz w:val="20"/>
          <w:szCs w:val="20"/>
        </w:rPr>
        <w:t xml:space="preserve">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 n = 560 noches, cohorte in_strict (12 pacientes).</w:t>
      </w:r>
    </w:p>
    <w:p>
      <w:pPr>
        <w:spacing w:after="140" w:line="280"/>
        <w:jc w:val="both"/>
      </w:pPr>
      <w:r>
        <w:rPr>
          <w:rFonts w:ascii="Arial" w:cs="Arial" w:eastAsia="Arial" w:hAnsi="Arial"/>
          <w:sz w:val="22"/>
          <w:szCs w:val="22"/>
        </w:rPr>
        <w:t xml:space="preserve">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pPr>
        <w:pStyle w:val="Heading2"/>
        <w:spacing w:after="140" w:before="300"/>
      </w:pPr>
      <w:r>
        <w:rPr>
          <w:rFonts w:ascii="Arial" w:cs="Arial" w:eastAsia="Arial" w:hAnsi="Arial"/>
          <w:b/>
          <w:bCs/>
          <w:color w:val="1E3A5F"/>
          <w:sz w:val="26"/>
          <w:szCs w:val="26"/>
        </w:rPr>
        <w:t xml:space="preserve">6.5  Dinámica temporal peri-evento y resiliencia fisiológica  (NB05, Sección 4)</w:t>
      </w:r>
    </w:p>
    <w:p>
      <w:pPr>
        <w:spacing w:after="140" w:line="280"/>
        <w:jc w:val="both"/>
      </w:pPr>
      <w:r>
        <w:rPr>
          <w:rFonts w:ascii="Arial" w:cs="Arial" w:eastAsia="Arial" w:hAnsi="Arial"/>
          <w:sz w:val="22"/>
          <w:szCs w:val="22"/>
        </w:rPr>
        <w:t xml:space="preserve">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pPr>
        <w:spacing w:after="140" w:line="280"/>
        <w:jc w:val="both"/>
      </w:pPr>
      <w:r>
        <w:rPr>
          <w:rFonts w:ascii="Arial" w:cs="Arial" w:eastAsia="Arial" w:hAnsi="Arial"/>
          <w:sz w:val="22"/>
          <w:szCs w:val="22"/>
        </w:rPr>
        <w:t xml:space="preserve">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pPr>
        <w:spacing w:after="80" w:before="280"/>
      </w:pPr>
      <w:r>
        <w:rPr>
          <w:rFonts w:ascii="Arial" w:cs="Arial" w:eastAsia="Arial" w:hAnsi="Arial"/>
          <w:b/>
          <w:bCs/>
          <w:color w:val="1E3A5F"/>
          <w:sz w:val="20"/>
          <w:szCs w:val="20"/>
        </w:rPr>
        <w:t xml:space="preserve">Tabla 6.4. Resiliencia fisiológica posterior a eventos severos en estados patológicos.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900"/>
        <w:gridCol w:w="2866"/>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Resiliente (retorno a estado protector)</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Colapsado (persiste en estado patológico)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43,3 %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40,2 %</w:t>
            </w:r>
          </w:p>
        </w:tc>
      </w:tr>
      <w:tr>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12,3 %</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80,4 %</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74,5 %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Resiliente = siguiente estado protector. Colapsado = siguiente estado patológico. Diferencia al 100 % = estados intermedios o último evento de la noche. Origen: NB05, Sección 4.</w:t>
      </w:r>
    </w:p>
    <w:p>
      <w:pPr>
        <w:spacing w:after="0" w:before="120"/>
        <w:jc w:val="center"/>
      </w:pPr>
      <w:r>
        <w:drawing>
          <wp:inline distT="0" distB="0" distL="0" distR="0">
            <wp:extent cx="5238750" cy="1628775"/>
            <wp:effectExtent t="0" r="0" b="0" l="0"/>
            <wp:docPr id="1"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6.4. </w:t>
      </w:r>
      <w:r>
        <w:rPr>
          <w:rFonts w:ascii="Arial" w:cs="Arial" w:eastAsia="Arial" w:hAnsi="Arial"/>
          <w:i/>
          <w:iCs/>
          <w:sz w:val="20"/>
          <w:szCs w:val="20"/>
        </w:rPr>
        <w:t xml:space="preserve">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4. n = 4.602 eventos C4+C5, cohorte in_strict (12 pacientes).</w:t>
      </w:r>
    </w:p>
    <w:p>
      <w:pPr>
        <w:pStyle w:val="Heading2"/>
        <w:spacing w:after="140" w:before="300"/>
      </w:pPr>
      <w:r>
        <w:rPr>
          <w:rFonts w:ascii="Arial" w:cs="Arial" w:eastAsia="Arial" w:hAnsi="Arial"/>
          <w:b/>
          <w:bCs/>
          <w:color w:val="1E3A5F"/>
          <w:sz w:val="26"/>
          <w:szCs w:val="26"/>
        </w:rPr>
        <w:t xml:space="preserve">6.6  Dinámica Markoviana y corredores de vulnerabilidad  (NB05, Sección 5)</w:t>
      </w:r>
    </w:p>
    <w:p>
      <w:pPr>
        <w:spacing w:after="140" w:line="280"/>
        <w:jc w:val="both"/>
      </w:pPr>
      <w:r>
        <w:rPr>
          <w:rFonts w:ascii="Arial" w:cs="Arial" w:eastAsia="Arial" w:hAnsi="Arial"/>
          <w:sz w:val="22"/>
          <w:szCs w:val="22"/>
        </w:rPr>
        <w:t xml:space="preserve">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pPr>
        <w:spacing w:after="140" w:line="280"/>
        <w:jc w:val="both"/>
      </w:pPr>
      <w:r>
        <w:rPr>
          <w:rFonts w:ascii="Arial" w:cs="Arial" w:eastAsia="Arial" w:hAnsi="Arial"/>
          <w:sz w:val="22"/>
          <w:szCs w:val="22"/>
        </w:rPr>
        <w:t xml:space="preserve">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0" w:before="120"/>
        <w:jc w:val="center"/>
      </w:pPr>
      <w:r>
        <w:drawing>
          <wp:inline distT="0" distB="0" distL="0" distR="0">
            <wp:extent cx="5238750" cy="1524000"/>
            <wp:effectExtent t="0" r="0" b="0" l="0"/>
            <wp:docPr id="1"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5240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6.5. </w:t>
      </w:r>
      <w:r>
        <w:rPr>
          <w:rFonts w:ascii="Arial" w:cs="Arial" w:eastAsia="Arial" w:hAnsi="Arial"/>
          <w:i/>
          <w:iCs/>
          <w:sz w:val="20"/>
          <w:szCs w:val="20"/>
        </w:rPr>
        <w:t xml:space="preserve">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5. Transiciones: S = 462.519; M = 45.900; L = 7.196. Cadenas Markov de primer orden, 12 pacientes.</w:t>
      </w:r>
    </w:p>
    <w:p>
      <w:pPr>
        <w:pStyle w:val="Heading2"/>
        <w:spacing w:after="140" w:before="300"/>
      </w:pPr>
      <w:r>
        <w:rPr>
          <w:rFonts w:ascii="Arial" w:cs="Arial" w:eastAsia="Arial" w:hAnsi="Arial"/>
          <w:b/>
          <w:bCs/>
          <w:color w:val="1E3A5F"/>
          <w:sz w:val="26"/>
          <w:szCs w:val="26"/>
        </w:rPr>
        <w:t xml:space="preserve">6.7  Trayectorias nocturnas: fenotipos dinámicos globales  (NB05, Sección 6)</w:t>
      </w:r>
    </w:p>
    <w:p>
      <w:pPr>
        <w:spacing w:after="140" w:line="280"/>
        <w:jc w:val="both"/>
      </w:pPr>
      <w:r>
        <w:rPr>
          <w:rFonts w:ascii="Arial" w:cs="Arial" w:eastAsia="Arial" w:hAnsi="Arial"/>
          <w:sz w:val="22"/>
          <w:szCs w:val="22"/>
        </w:rPr>
        <w:t xml:space="preserve">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pPr>
        <w:spacing w:after="140" w:line="280"/>
        <w:jc w:val="both"/>
      </w:pPr>
      <w:r>
        <w:rPr>
          <w:rFonts w:ascii="Arial" w:cs="Arial" w:eastAsia="Arial" w:hAnsi="Arial"/>
          <w:sz w:val="22"/>
          <w:szCs w:val="22"/>
        </w:rPr>
        <w:t xml:space="preserve">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pPr>
        <w:spacing w:after="80" w:before="280"/>
      </w:pPr>
      <w:r>
        <w:rPr>
          <w:rFonts w:ascii="Arial" w:cs="Arial" w:eastAsia="Arial" w:hAnsi="Arial"/>
          <w:b/>
          <w:bCs/>
          <w:color w:val="1E3A5F"/>
          <w:sz w:val="20"/>
          <w:szCs w:val="20"/>
        </w:rPr>
        <w:t xml:space="preserve">Tabla 6.5. Fenotipos dinámicos nocturnos identificados por PAC (K = 3, NB05).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1100"/>
        <w:gridCol w:w="950"/>
        <w:gridCol w:w="1150"/>
        <w:gridCol w:w="156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Fenotipo</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M1</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M3</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eventos severos</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ARI mediano</w:t>
            </w:r>
          </w:p>
        </w:tc>
        <w:tc>
          <w:tcPr>
            <w:tcW w:type="dxa" w:w="11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Trans. M</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Entropía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Estable-Protector</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12,0 %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0,522</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Carga Intermedia</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22,7 %</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5,0 %</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0,493</w:t>
            </w:r>
          </w:p>
        </w:tc>
        <w:tc>
          <w:tcPr>
            <w:tcW w:type="dxa" w:w="11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alta (≈42)</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1,933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Carga Hipóxica Alta</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78,1 %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36,1 %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0,284</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muy baja (≈6)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K-means (K = 3) sobre PCA de 7 features nocturnas. n = 513 noches, 12 pacientes. Origen: NB05, Sección 6.</w:t>
      </w:r>
    </w:p>
    <w:p>
      <w:pPr>
        <w:spacing w:after="0" w:before="120"/>
        <w:jc w:val="center"/>
      </w:pPr>
      <w:r>
        <w:drawing>
          <wp:inline distT="0" distB="0" distL="0" distR="0">
            <wp:extent cx="5238750" cy="2390775"/>
            <wp:effectExtent t="0" r="0" b="0" l="0"/>
            <wp:docPr id="1"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390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6.6. </w:t>
      </w:r>
      <w:r>
        <w:rPr>
          <w:rFonts w:ascii="Arial" w:cs="Arial" w:eastAsia="Arial" w:hAnsi="Arial"/>
          <w:i/>
          <w:iCs/>
          <w:sz w:val="20"/>
          <w:szCs w:val="20"/>
        </w:rPr>
        <w:t xml:space="preserve">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6. n = 513 noches. El fenotipo Carga Hipóxica Alta aparece en el 4,4 % de las noches AASM Moderadas y en el 0 % de las Severas.</w:t>
      </w:r>
    </w:p>
    <w:p>
      <w:pPr>
        <w:spacing w:after="140" w:line="280"/>
        <w:jc w:val="both"/>
      </w:pPr>
      <w:r>
        <w:rPr>
          <w:rFonts w:ascii="Arial" w:cs="Arial" w:eastAsia="Arial" w:hAnsi="Arial"/>
          <w:sz w:val="22"/>
          <w:szCs w:val="22"/>
        </w:rPr>
        <w:t xml:space="preserve">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pPr>
        <w:pStyle w:val="Heading2"/>
        <w:spacing w:after="140" w:before="300"/>
      </w:pPr>
      <w:r>
        <w:rPr>
          <w:rFonts w:ascii="Arial" w:cs="Arial" w:eastAsia="Arial" w:hAnsi="Arial"/>
          <w:b/>
          <w:bCs/>
          <w:color w:val="1E3A5F"/>
          <w:sz w:val="26"/>
          <w:szCs w:val="26"/>
        </w:rPr>
        <w:t xml:space="preserve">6.8  Importancia predictiva de las features PAC: ablación LOPO-CV  (NB06)</w:t>
      </w:r>
    </w:p>
    <w:p>
      <w:pPr>
        <w:spacing w:after="140" w:line="280"/>
        <w:jc w:val="both"/>
      </w:pPr>
      <w:r>
        <w:rPr>
          <w:rFonts w:ascii="Arial" w:cs="Arial" w:eastAsia="Arial" w:hAnsi="Arial"/>
          <w:sz w:val="22"/>
          <w:szCs w:val="22"/>
        </w:rPr>
        <w:t xml:space="preserve">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pPr>
        <w:spacing w:after="140" w:line="280"/>
        <w:jc w:val="both"/>
      </w:pPr>
      <w:r>
        <w:rPr>
          <w:rFonts w:ascii="Arial" w:cs="Arial" w:eastAsia="Arial" w:hAnsi="Arial"/>
          <w:sz w:val="22"/>
          <w:szCs w:val="22"/>
        </w:rPr>
        <w:t xml:space="preserve">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pPr>
        <w:spacing w:after="140" w:line="280"/>
        <w:jc w:val="both"/>
      </w:pPr>
      <w:r>
        <w:rPr>
          <w:rFonts w:ascii="Arial" w:cs="Arial" w:eastAsia="Arial" w:hAnsi="Arial"/>
          <w:sz w:val="22"/>
          <w:szCs w:val="22"/>
        </w:rPr>
        <w:t xml:space="preserve">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pPr>
        <w:spacing w:after="80" w:before="280"/>
      </w:pPr>
      <w:r>
        <w:rPr>
          <w:rFonts w:ascii="Arial" w:cs="Arial" w:eastAsia="Arial" w:hAnsi="Arial"/>
          <w:b/>
          <w:bCs/>
          <w:color w:val="1E3A5F"/>
          <w:sz w:val="20"/>
          <w:szCs w:val="20"/>
        </w:rPr>
        <w:t xml:space="preserve">Tabla 6.6. Importancia relativa de grupos de features (Random Forest, NB06).</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00"/>
        <w:gridCol w:w="156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 de features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 variables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Importancia (Gini)</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sobre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 (S/M/L)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0,4475</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44,8 %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 C1–C5</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0,2019</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0,1466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14,7 %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Variables clínicas</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0,1023</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0,0680</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 6,8 %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ARI</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0,0337</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 3,4 %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Importancia Gini promediada sobre 8 folds LOPO-CV. 540 noches, 8 pacientes. Origen: NB06.</w:t>
      </w:r>
    </w:p>
    <w:p>
      <w:pPr>
        <w:spacing w:after="80" w:before="280"/>
      </w:pPr>
      <w:r>
        <w:rPr>
          <w:rFonts w:ascii="Arial" w:cs="Arial" w:eastAsia="Arial" w:hAnsi="Arial"/>
          <w:b/>
          <w:bCs/>
          <w:color w:val="1E3A5F"/>
          <w:sz w:val="20"/>
          <w:szCs w:val="20"/>
        </w:rPr>
        <w:t xml:space="preserve">Tabla 6.6b. Top-10 features individuales por importancia Gini (NB06).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850"/>
        <w:gridCol w:w="3816"/>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Rango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Feature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w:t>
            </w:r>
          </w:p>
        </w:tc>
        <w:tc>
          <w:tcPr>
            <w:tcW w:type="dxa" w:w="8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Gini</w:t>
            </w:r>
          </w:p>
        </w:tc>
        <w:tc>
          <w:tcPr>
            <w:tcW w:type="dxa" w:w="381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frac_state_s_S3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0,0860</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S protector</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n_transitions_state_s</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0,0739</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Dinamismo microdinámica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Clínico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0,0731</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IMC del paciente</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frac_c2</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0,0668</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0,0664</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C1</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frac_state_l_L3</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~0,060</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protector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~0,059</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patológico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~0,054</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patológico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waso_s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~0,053</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Tiempo de vigilia tras inicio de sueño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frac_state_m_M0</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~0,052</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protector</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Gini promediado sobre 8 folds LOPO-CV. Rangos 6–10 aproximados desde figura 06_feature_importance_gini.png. Origen: NB06.</w:t>
      </w:r>
    </w:p>
    <w:p>
      <w:pPr>
        <w:spacing w:after="0" w:before="120"/>
        <w:jc w:val="center"/>
      </w:pPr>
      <w:r>
        <w:drawing>
          <wp:inline distT="0" distB="0" distL="0" distR="0">
            <wp:extent cx="5238750" cy="4181475"/>
            <wp:effectExtent t="0" r="0" b="0" l="0"/>
            <wp:docPr id="1"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41814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6.7. </w:t>
      </w:r>
      <w:r>
        <w:rPr>
          <w:rFonts w:ascii="Arial" w:cs="Arial" w:eastAsia="Arial" w:hAnsi="Arial"/>
          <w:i/>
          <w:iCs/>
          <w:sz w:val="20"/>
          <w:szCs w:val="20"/>
        </w:rPr>
        <w:t xml:space="preserve">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n = 540 noches, 8 pacientes. Barras = media ± SD sobre los 8 folds LOPO-CV.</w:t>
      </w:r>
    </w:p>
    <w:p>
      <w:pPr>
        <w:spacing w:after="0" w:before="120"/>
        <w:jc w:val="center"/>
      </w:pPr>
      <w:r>
        <w:drawing>
          <wp:inline distT="0" distB="0" distL="0" distR="0">
            <wp:extent cx="5238750" cy="1990725"/>
            <wp:effectExtent t="0" r="0" b="0" l="0"/>
            <wp:docPr id="1"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19907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6.8. </w:t>
      </w:r>
      <w:r>
        <w:rPr>
          <w:rFonts w:ascii="Arial" w:cs="Arial" w:eastAsia="Arial" w:hAnsi="Arial"/>
          <w:i/>
          <w:iCs/>
          <w:sz w:val="20"/>
          <w:szCs w:val="20"/>
        </w:rPr>
        <w:t xml:space="preserve">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Barras = media ± SD sobre 8 folds LOPO-CV. "PAC only" incluye PAC States + PAC Dynamics.</w:t>
      </w:r>
    </w:p>
    <w:p>
      <w:pPr>
        <w:spacing w:after="140" w:line="280"/>
        <w:jc w:val="both"/>
      </w:pPr>
      <w:r>
        <w:rPr>
          <w:rFonts w:ascii="Arial" w:cs="Arial" w:eastAsia="Arial" w:hAnsi="Arial"/>
          <w:sz w:val="22"/>
          <w:szCs w:val="22"/>
        </w:rPr>
        <w:t xml:space="preserve">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0,035)—, sino que no es un predictor lineal de la categoría AASM.</w:t>
      </w:r>
    </w:p>
    <w:p>
      <w:pPr>
        <w:pStyle w:val="Heading2"/>
        <w:spacing w:after="140" w:before="300"/>
      </w:pPr>
      <w:r>
        <w:rPr>
          <w:rFonts w:ascii="Arial" w:cs="Arial" w:eastAsia="Arial" w:hAnsi="Arial"/>
          <w:b/>
          <w:bCs/>
          <w:color w:val="1E3A5F"/>
          <w:sz w:val="26"/>
          <w:szCs w:val="26"/>
        </w:rPr>
        <w:t xml:space="preserve">6.9  Modelo predictivo a nivel de evento  (NB07, Bloque B)</w:t>
      </w:r>
    </w:p>
    <w:p>
      <w:pPr>
        <w:spacing w:after="140" w:line="280"/>
        <w:jc w:val="both"/>
      </w:pPr>
      <w:r>
        <w:rPr>
          <w:rFonts w:ascii="Arial" w:cs="Arial" w:eastAsia="Arial" w:hAnsi="Arial"/>
          <w:sz w:val="22"/>
          <w:szCs w:val="22"/>
        </w:rPr>
        <w:t xml:space="preserve">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pPr>
        <w:spacing w:after="140" w:line="280"/>
        <w:jc w:val="both"/>
      </w:pPr>
      <w:r>
        <w:rPr>
          <w:rFonts w:ascii="Arial" w:cs="Arial" w:eastAsia="Arial" w:hAnsi="Arial"/>
          <w:sz w:val="22"/>
          <w:szCs w:val="22"/>
        </w:rPr>
        <w:t xml:space="preserve">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pPr>
        <w:spacing w:after="80" w:before="280"/>
      </w:pPr>
      <w:r>
        <w:rPr>
          <w:rFonts w:ascii="Arial" w:cs="Arial" w:eastAsia="Arial" w:hAnsi="Arial"/>
          <w:b/>
          <w:bCs/>
          <w:color w:val="1E3A5F"/>
          <w:sz w:val="20"/>
          <w:szCs w:val="20"/>
        </w:rPr>
        <w:t xml:space="preserve">Tabla 6.7. Rendimiento comparativo del modelo predictivo de evento severo (LOPO-CV, NB07).</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0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AP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Sensibilidad</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Especificidad</w:t>
            </w:r>
          </w:p>
        </w:tc>
        <w:tc>
          <w:tcPr>
            <w:tcW w:type="dxa" w:w="1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Mejora 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(basal)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0,660</w:t>
            </w:r>
          </w:p>
        </w:tc>
        <w:tc>
          <w:tcPr>
            <w:tcW w:type="dxa" w:w="1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2,9×</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LightGBM</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0,240</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0,76</w:t>
            </w:r>
          </w:p>
        </w:tc>
        <w:tc>
          <w:tcPr>
            <w:tcW w:type="dxa" w:w="1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4,3×</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Clase positiva = C4 o C5 (5,57 %, n = 76.053). Baseline AP = 5,56 % (prevalencia). Rango AUC por fold (LightGBM): 0,798–0,964. Origen: NB07, Bloque B.</w:t>
      </w:r>
    </w:p>
    <w:p>
      <w:pPr>
        <w:spacing w:after="0" w:before="120"/>
        <w:jc w:val="center"/>
      </w:pPr>
      <w:r>
        <w:drawing>
          <wp:inline distT="0" distB="0" distL="0" distR="0">
            <wp:extent cx="5238750" cy="3248025"/>
            <wp:effectExtent t="0" r="0" b="0" l="0"/>
            <wp:docPr id="1"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6.9. </w:t>
      </w:r>
      <w:r>
        <w:rPr>
          <w:rFonts w:ascii="Arial" w:cs="Arial" w:eastAsia="Arial" w:hAnsi="Arial"/>
          <w:i/>
          <w:iCs/>
          <w:sz w:val="20"/>
          <w:szCs w:val="20"/>
        </w:rPr>
        <w:t xml:space="preserve">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8 pacientes. Features calculadas causalmente.</w:t>
      </w:r>
    </w:p>
    <w:p>
      <w:pPr>
        <w:spacing w:after="140" w:line="280"/>
        <w:jc w:val="both"/>
      </w:pPr>
      <w:r>
        <w:rPr>
          <w:rFonts w:ascii="Arial" w:cs="Arial" w:eastAsia="Arial" w:hAnsi="Arial"/>
          <w:sz w:val="22"/>
          <w:szCs w:val="22"/>
        </w:rPr>
        <w:t xml:space="preserve">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pPr>
        <w:spacing w:after="0" w:before="120"/>
        <w:jc w:val="center"/>
      </w:pPr>
      <w:r>
        <w:drawing>
          <wp:inline distT="0" distB="0" distL="0" distR="0">
            <wp:extent cx="5238750" cy="3248025"/>
            <wp:effectExtent t="0" r="0" b="0" l="0"/>
            <wp:docPr id="1" name="Importancia features LightGBM prediccion evento severo" descr="Importancia features LightGBM prediccion evento severo" title="Importancia features LightGBM prediccion evento sev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6.10. </w:t>
      </w:r>
      <w:r>
        <w:rPr>
          <w:rFonts w:ascii="Arial" w:cs="Arial" w:eastAsia="Arial" w:hAnsi="Arial"/>
          <w:i/>
          <w:iCs/>
          <w:sz w:val="20"/>
          <w:szCs w:val="20"/>
        </w:rPr>
        <w:t xml:space="preserve">Importancia de features del modelo de predicción de evento severo (LightGBM, entrenado sobre corpus completo). Las features de contexto acumulado —posición en la noche, morfología reciente y coupling index acumulado— dominan sobre el estado instantáneo.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Importancia de tipo gain. n = 76.053 eventos.</w:t>
      </w:r>
    </w:p>
    <w:p>
      <w:pPr>
        <w:pStyle w:val="Heading2"/>
        <w:spacing w:after="140" w:before="300"/>
      </w:pPr>
      <w:r>
        <w:rPr>
          <w:rFonts w:ascii="Arial" w:cs="Arial" w:eastAsia="Arial" w:hAnsi="Arial"/>
          <w:b/>
          <w:bCs/>
          <w:color w:val="1E3A5F"/>
          <w:sz w:val="26"/>
          <w:szCs w:val="26"/>
        </w:rPr>
        <w:t xml:space="preserve">6.10  Modelo predictivo a nivel de noche  (NB07, Bloque C)</w:t>
      </w:r>
    </w:p>
    <w:p>
      <w:pPr>
        <w:spacing w:after="140" w:line="280"/>
        <w:jc w:val="both"/>
      </w:pPr>
      <w:r>
        <w:rPr>
          <w:rFonts w:ascii="Arial" w:cs="Arial" w:eastAsia="Arial" w:hAnsi="Arial"/>
          <w:sz w:val="22"/>
          <w:szCs w:val="22"/>
        </w:rPr>
        <w:t xml:space="preserve">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pPr>
        <w:spacing w:after="140" w:line="280"/>
        <w:jc w:val="both"/>
      </w:pPr>
      <w:r>
        <w:rPr>
          <w:rFonts w:ascii="Arial" w:cs="Arial" w:eastAsia="Arial" w:hAnsi="Arial"/>
          <w:sz w:val="22"/>
          <w:szCs w:val="22"/>
        </w:rPr>
        <w:t xml:space="preserve">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pPr>
        <w:spacing w:after="80" w:before="280"/>
      </w:pPr>
      <w:r>
        <w:rPr>
          <w:rFonts w:ascii="Arial" w:cs="Arial" w:eastAsia="Arial" w:hAnsi="Arial"/>
          <w:b/>
          <w:bCs/>
          <w:color w:val="1E3A5F"/>
          <w:sz w:val="20"/>
          <w:szCs w:val="20"/>
        </w:rPr>
        <w:t xml:space="preserve">Tabla 6.8. Rendimiento comparativo del modelo predictivo nocturno binario (LOPO-CV, NB07).</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000"/>
        <w:gridCol w:w="1866"/>
      </w:tblGrid>
      <w:tr>
        <w:trPr>
          <w:tblHeader/>
        </w:trPr>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Average Precision</w:t>
            </w:r>
          </w:p>
        </w:tc>
        <w:tc>
          <w:tcPr>
            <w:tcW w:type="dxa" w:w="1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Baseline AP</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0,834</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r>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1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0,783</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0,649</w:t>
            </w:r>
          </w:p>
        </w:tc>
        <w:tc>
          <w:tcPr>
            <w:tcW w:type="dxa" w:w="1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Clasificación binaria: Normal+Leve vs. Moderado+Severo. n = 494 noches, 8 pacientes. Origen: NB07, Bloque C.</w:t>
      </w:r>
    </w:p>
    <w:p>
      <w:pPr>
        <w:spacing w:after="0" w:before="120"/>
        <w:jc w:val="center"/>
      </w:pPr>
      <w:r>
        <w:drawing>
          <wp:inline distT="0" distB="0" distL="0" distR="0">
            <wp:extent cx="5238750" cy="2181225"/>
            <wp:effectExtent t="0" r="0" b="0" l="0"/>
            <wp:docPr id="1"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1812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6.11. </w:t>
      </w:r>
      <w:r>
        <w:rPr>
          <w:rFonts w:ascii="Arial" w:cs="Arial" w:eastAsia="Arial" w:hAnsi="Arial"/>
          <w:i/>
          <w:iCs/>
          <w:sz w:val="20"/>
          <w:szCs w:val="20"/>
        </w:rPr>
        <w:t xml:space="preserve">Curvas ROC y Precision-Recall para la clasificación nocturna binaria (LOPO-CV, NB07 Bloque C). Logística (azul): AUC = 0,905, AP = 0,834. Random Forest (rojo): AUC = 0,783, AP = 0,649. Baseline AP = 0,348 (prevalencia de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spacing w:after="140" w:line="280"/>
        <w:jc w:val="both"/>
      </w:pPr>
      <w:r>
        <w:rPr>
          <w:rFonts w:ascii="Arial" w:cs="Arial" w:eastAsia="Arial" w:hAnsi="Arial"/>
          <w:sz w:val="22"/>
          <w:szCs w:val="22"/>
        </w:rPr>
        <w:t xml:space="preserve">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pPr>
        <w:spacing w:after="0" w:before="120"/>
        <w:jc w:val="center"/>
      </w:pPr>
      <w:r>
        <w:drawing>
          <wp:inline distT="0" distB="0" distL="0" distR="0">
            <wp:extent cx="5238750" cy="3476625"/>
            <wp:effectExtent t="0" r="0" b="0" l="0"/>
            <wp:docPr id="1" name="Feature importance modelo nocturno binario Random Forest" descr="Feature importance modelo nocturno binario Random Forest" title="Feature importance modelo nocturno binari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4766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6.12. </w:t>
      </w:r>
      <w:r>
        <w:rPr>
          <w:rFonts w:ascii="Arial" w:cs="Arial" w:eastAsia="Arial" w:hAnsi="Arial"/>
          <w:i/>
          <w:iCs/>
          <w:sz w:val="20"/>
          <w:szCs w:val="20"/>
        </w:rPr>
        <w:t xml:space="preserve">Importancia de features del modelo nocturno binario (Random Forest, NB07 Bloque C). Las fracciones de estados de escala M dominan: frac_state_m_M0 (0,203), frac_state_m_M3 (0,198), frac_state_m_M1 (0,152) y frac_state_m_M2 (0,141) acumulan el 69,4 % del total.</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pStyle w:val="Heading2"/>
        <w:spacing w:after="140" w:before="300"/>
      </w:pPr>
      <w:r>
        <w:rPr>
          <w:rFonts w:ascii="Arial" w:cs="Arial" w:eastAsia="Arial" w:hAnsi="Arial"/>
          <w:b/>
          <w:bCs/>
          <w:color w:val="1E3A5F"/>
          <w:sz w:val="26"/>
          <w:szCs w:val="26"/>
        </w:rPr>
        <w:t xml:space="preserve">6.11  Interpretabilidad del modelo nocturno</w:t>
      </w:r>
    </w:p>
    <w:p>
      <w:pPr>
        <w:spacing w:after="140" w:line="280"/>
        <w:jc w:val="both"/>
      </w:pPr>
      <w:r>
        <w:rPr>
          <w:rFonts w:ascii="Arial" w:cs="Arial" w:eastAsia="Arial" w:hAnsi="Arial"/>
          <w:sz w:val="22"/>
          <w:szCs w:val="22"/>
        </w:rPr>
        <w:t xml:space="preserve">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pPr>
        <w:pStyle w:val="Heading2"/>
        <w:spacing w:after="140" w:before="300"/>
      </w:pPr>
      <w:r>
        <w:rPr>
          <w:rFonts w:ascii="Arial" w:cs="Arial" w:eastAsia="Arial" w:hAnsi="Arial"/>
          <w:b/>
          <w:bCs/>
          <w:color w:val="1E3A5F"/>
          <w:sz w:val="26"/>
          <w:szCs w:val="26"/>
        </w:rPr>
        <w:t xml:space="preserve">6.12  Risk Score PAC: integración evento–noche  (NB07, Bloque D)</w:t>
      </w:r>
    </w:p>
    <w:p>
      <w:pPr>
        <w:spacing w:after="140" w:line="280"/>
        <w:jc w:val="both"/>
      </w:pPr>
      <w:r>
        <w:rPr>
          <w:rFonts w:ascii="Arial" w:cs="Arial" w:eastAsia="Arial" w:hAnsi="Arial"/>
          <w:sz w:val="22"/>
          <w:szCs w:val="22"/>
        </w:rPr>
        <w:t xml:space="preserve">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pPr>
        <w:spacing w:after="80" w:before="280"/>
      </w:pPr>
      <w:r>
        <w:rPr>
          <w:rFonts w:ascii="Arial" w:cs="Arial" w:eastAsia="Arial" w:hAnsi="Arial"/>
          <w:b/>
          <w:bCs/>
          <w:color w:val="1E3A5F"/>
          <w:sz w:val="20"/>
          <w:szCs w:val="20"/>
        </w:rPr>
        <w:t xml:space="preserve">Tabla 6.9. Composición del Risk Score PAC (escala 0–100).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000"/>
        <w:gridCol w:w="24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Componente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Fuente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Peso</w:t>
            </w:r>
          </w:p>
        </w:tc>
        <w:tc>
          <w:tcPr>
            <w:tcW w:type="dxa" w:w="24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Score de evento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 — LightGBM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40 %</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Score de noche</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 — Regresión logística</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60 %</w:t>
            </w:r>
          </w:p>
        </w:tc>
        <w:tc>
          <w:tcPr>
            <w:tcW w:type="dxa" w:w="24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Fórmula: Risk Score = (0,40 × p_ev_norm + 0,60 × p_high_risk_night) × 100. Etiquetas: Bajo (&lt; 30), Moderado (30–60), Alto (&gt; 60). Origen: NB07, Bloque D.</w:t>
      </w:r>
    </w:p>
    <w:p>
      <w:pPr>
        <w:spacing w:after="140" w:line="280"/>
        <w:jc w:val="both"/>
      </w:pPr>
      <w:r>
        <w:rPr>
          <w:rFonts w:ascii="Arial" w:cs="Arial" w:eastAsia="Arial" w:hAnsi="Arial"/>
          <w:sz w:val="22"/>
          <w:szCs w:val="22"/>
        </w:rPr>
        <w:t xml:space="preserve">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pPr>
        <w:spacing w:after="140" w:line="280"/>
        <w:jc w:val="both"/>
      </w:pPr>
      <w:r>
        <w:rPr>
          <w:rFonts w:ascii="Arial" w:cs="Arial" w:eastAsia="Arial" w:hAnsi="Arial"/>
          <w:sz w:val="22"/>
          <w:szCs w:val="22"/>
        </w:rPr>
        <w:t xml:space="preserve">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pPr>
        <w:spacing w:after="0" w:before="120"/>
        <w:jc w:val="center"/>
      </w:pPr>
      <w:r>
        <w:drawing>
          <wp:inline distT="0" distB="0" distL="0" distR="0">
            <wp:extent cx="5238750" cy="2009775"/>
            <wp:effectExtent t="0" r="0" b="0" l="0"/>
            <wp:docPr id="1"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6.13. </w:t>
      </w:r>
      <w:r>
        <w:rPr>
          <w:rFonts w:ascii="Arial" w:cs="Arial" w:eastAsia="Arial" w:hAnsi="Arial"/>
          <w:i/>
          <w:iCs/>
          <w:sz w:val="20"/>
          <w:szCs w:val="20"/>
        </w:rPr>
        <w:t xml:space="preserve">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 El 100 % de las Severas superan el umbral 60; el 77,6 % de las Moderadas; el 9,4 % de las Leves; el 0 % de las Normales.</w:t>
      </w:r>
    </w:p>
    <w:p>
      <w:pPr>
        <w:spacing w:after="0" w:before="120"/>
        <w:jc w:val="center"/>
      </w:pPr>
      <w:r>
        <w:drawing>
          <wp:inline distT="0" distB="0" distL="0" distR="0">
            <wp:extent cx="5238750" cy="2009775"/>
            <wp:effectExtent t="0" r="0" b="0" l="0"/>
            <wp:docPr id="1"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6.14. </w:t>
      </w:r>
      <w:r>
        <w:rPr>
          <w:rFonts w:ascii="Arial" w:cs="Arial" w:eastAsia="Arial" w:hAnsi="Arial"/>
          <w:i/>
          <w:iCs/>
          <w:sz w:val="20"/>
          <w:szCs w:val="20"/>
        </w:rPr>
        <w:t xml:space="preserve">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w:t>
      </w:r>
    </w:p>
    <w:p>
      <w:pPr>
        <w:pStyle w:val="Heading2"/>
        <w:spacing w:after="140" w:before="300"/>
      </w:pPr>
      <w:r>
        <w:rPr>
          <w:rFonts w:ascii="Arial" w:cs="Arial" w:eastAsia="Arial" w:hAnsi="Arial"/>
          <w:b/>
          <w:bCs/>
          <w:color w:val="1E3A5F"/>
          <w:sz w:val="26"/>
          <w:szCs w:val="26"/>
        </w:rPr>
        <w:t xml:space="preserve">6.13  Significado clínico del modelo predictivo PAC</w:t>
      </w:r>
    </w:p>
    <w:p>
      <w:pPr>
        <w:spacing w:after="140" w:line="280"/>
        <w:jc w:val="both"/>
      </w:pPr>
      <w:r>
        <w:rPr>
          <w:rFonts w:ascii="Arial" w:cs="Arial" w:eastAsia="Arial" w:hAnsi="Arial"/>
          <w:sz w:val="22"/>
          <w:szCs w:val="22"/>
        </w:rP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pPr>
        <w:spacing w:after="140" w:line="280"/>
        <w:jc w:val="both"/>
      </w:pPr>
      <w:r>
        <w:rPr>
          <w:rFonts w:ascii="Arial" w:cs="Arial" w:eastAsia="Arial" w:hAnsi="Arial"/>
          <w:sz w:val="22"/>
          <w:szCs w:val="22"/>
        </w:rPr>
        <w:t xml:space="preserve">En términos traslacionales, los dos módulos predictivos tienen utilidades distintas y complementarias. El módulo de evento (AUC = 0,878), con lead time de ≈5 min (equivalente a la escala M del sistema PAC), tiene potencial en sistemas de monitoreo continuo activo, como CPAP adaptativo.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pPr>
        <w:pStyle w:val="Heading2"/>
        <w:spacing w:after="140" w:before="300"/>
      </w:pPr>
      <w:r>
        <w:rPr>
          <w:rFonts w:ascii="Arial" w:cs="Arial" w:eastAsia="Arial" w:hAnsi="Arial"/>
          <w:b/>
          <w:bCs/>
          <w:color w:val="1E3A5F"/>
          <w:sz w:val="26"/>
          <w:szCs w:val="26"/>
        </w:rPr>
        <w:t xml:space="preserve">6.14  Relación con los capítulos previos</w:t>
      </w:r>
    </w:p>
    <w:p>
      <w:pPr>
        <w:spacing w:after="140" w:line="280"/>
        <w:jc w:val="both"/>
      </w:pPr>
      <w:r>
        <w:rPr>
          <w:rFonts w:ascii="Arial" w:cs="Arial" w:eastAsia="Arial" w:hAnsi="Arial"/>
          <w:sz w:val="22"/>
          <w:szCs w:val="22"/>
        </w:rPr>
        <w:t xml:space="preserve">El Capítulo 6 funciona como síntesis predictiva de los dos capítulos analíticos precedentes. El Capítulo 4 demostró que los EDOs presentan morfologías distintas (C1–C5) y que los morfotipos severos (C4, C5) concentran mayor profundidad de caída, mayor carga hipóxica y mayor respuesta autonómica.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pPr>
        <w:spacing w:after="140" w:line="280"/>
        <w:jc w:val="both"/>
      </w:pPr>
      <w:r>
        <w:rPr>
          <w:rFonts w:ascii="Arial" w:cs="Arial" w:eastAsia="Arial" w:hAnsi="Arial"/>
          <w:sz w:val="22"/>
          <w:szCs w:val="22"/>
        </w:rPr>
        <w:t xml:space="preserve">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pPr>
        <w:pStyle w:val="Heading2"/>
        <w:spacing w:after="140" w:before="300"/>
      </w:pPr>
      <w:r>
        <w:rPr>
          <w:rFonts w:ascii="Arial" w:cs="Arial" w:eastAsia="Arial" w:hAnsi="Arial"/>
          <w:b/>
          <w:bCs/>
          <w:color w:val="1E3A5F"/>
          <w:sz w:val="26"/>
          <w:szCs w:val="26"/>
        </w:rPr>
        <w:t xml:space="preserve">6.15  Limitaciones</w:t>
      </w:r>
    </w:p>
    <w:p>
      <w:pPr>
        <w:spacing w:after="140" w:line="280"/>
        <w:jc w:val="both"/>
      </w:pPr>
      <w:r>
        <w:rPr>
          <w:rFonts w:ascii="Arial" w:cs="Arial" w:eastAsia="Arial" w:hAnsi="Arial"/>
          <w:sz w:val="22"/>
          <w:szCs w:val="22"/>
        </w:rP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pPr>
        <w:spacing w:after="140" w:line="280"/>
        <w:jc w:val="both"/>
      </w:pPr>
      <w:r>
        <w:rPr>
          <w:rFonts w:ascii="Arial" w:cs="Arial" w:eastAsia="Arial" w:hAnsi="Arial"/>
          <w:sz w:val="22"/>
          <w:szCs w:val="22"/>
        </w:rPr>
        <w:t xml:space="preserve">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pPr>
        <w:spacing w:after="140" w:line="280"/>
        <w:jc w:val="both"/>
      </w:pPr>
      <w:r>
        <w:rPr>
          <w:rFonts w:ascii="Arial" w:cs="Arial" w:eastAsia="Arial" w:hAnsi="Arial"/>
          <w:sz w:val="22"/>
          <w:szCs w:val="22"/>
        </w:rPr>
        <w:t xml:space="preserve">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pPr>
        <w:pStyle w:val="Heading2"/>
        <w:spacing w:after="140" w:before="300"/>
      </w:pPr>
      <w:r>
        <w:rPr>
          <w:rFonts w:ascii="Arial" w:cs="Arial" w:eastAsia="Arial" w:hAnsi="Arial"/>
          <w:b/>
          <w:bCs/>
          <w:color w:val="1E3A5F"/>
          <w:sz w:val="26"/>
          <w:szCs w:val="26"/>
        </w:rPr>
        <w:t xml:space="preserve">6.16  Conclusión</w:t>
      </w:r>
    </w:p>
    <w:p>
      <w:pPr>
        <w:spacing w:after="140" w:line="280"/>
        <w:jc w:val="both"/>
      </w:pPr>
      <w:r>
        <w:rPr>
          <w:rFonts w:ascii="Arial" w:cs="Arial" w:eastAsia="Arial" w:hAnsi="Arial"/>
          <w:sz w:val="22"/>
          <w:szCs w:val="22"/>
        </w:rPr>
        <w:t xml:space="preserve">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pPr>
        <w:spacing w:after="140" w:line="280"/>
        <w:jc w:val="both"/>
      </w:pPr>
      <w:r>
        <w:rPr>
          <w:rFonts w:ascii="Arial" w:cs="Arial" w:eastAsia="Arial" w:hAnsi="Arial"/>
          <w:sz w:val="22"/>
          <w:szCs w:val="22"/>
        </w:rPr>
        <w:t xml:space="preserve">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pPr>
        <w:spacing w:after="140" w:line="280"/>
        <w:jc w:val="both"/>
      </w:pPr>
      <w:r>
        <w:rPr>
          <w:rFonts w:ascii="Arial" w:cs="Arial" w:eastAsia="Arial" w:hAnsi="Arial"/>
          <w:sz w:val="22"/>
          <w:szCs w:val="22"/>
        </w:rPr>
        <w:t xml:space="preserve">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pPr>
        <w:pStyle w:val="Heading2"/>
        <w:spacing w:after="140" w:before="300"/>
      </w:pPr>
      <w:r>
        <w:rPr>
          <w:rFonts w:ascii="Arial" w:cs="Arial" w:eastAsia="Arial" w:hAnsi="Arial"/>
          <w:b/>
          <w:bCs/>
          <w:color w:val="1E3A5F"/>
          <w:sz w:val="26"/>
          <w:szCs w:val="26"/>
        </w:rPr>
        <w:t xml:space="preserve">Referencias</w:t>
      </w:r>
    </w:p>
    <w:p>
      <w:pPr>
        <w:spacing w:after="140" w:line="28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40" w:line="28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40" w:line="28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40" w:line="280"/>
        <w:jc w:val="both"/>
      </w:pPr>
      <w:r>
        <w:rPr>
          <w:rFonts w:ascii="Arial" w:cs="Arial" w:eastAsia="Arial" w:hAnsi="Arial"/>
          <w:sz w:val="22"/>
          <w:szCs w:val="22"/>
        </w:rPr>
        <w:t xml:space="preserve">Inza, R., et al. (en preparación). Estados dinámicos multiescala de la fisiología respiratoria nocturna: morfotipos, carga hipóxica y reactividad autonómica. [T2]</w:t>
      </w:r>
    </w:p>
    <w:p>
      <w:pPr>
        <w:spacing w:after="140" w:line="280"/>
        <w:jc w:val="both"/>
      </w:pPr>
      <w:r>
        <w:rPr>
          <w:rFonts w:ascii="Arial" w:cs="Arial" w:eastAsia="Arial" w:hAnsi="Arial"/>
          <w:sz w:val="22"/>
          <w:szCs w:val="22"/>
        </w:rPr>
        <w:t xml:space="preserve">Inza, R., et al. (en preparación). Acoplamiento evento–estado, trayectorias nocturnas y predicción de severidad en SAOS: el sistema PAC. [T3]</w:t>
      </w:r>
    </w:p>
    <w:p>
      <w:pPr>
        <w:spacing w:after="140" w:line="280"/>
        <w:jc w:val="both"/>
      </w:pPr>
      <w:r>
        <w:rPr>
          <w:rFonts w:ascii="Arial" w:cs="Arial" w:eastAsia="Arial" w:hAnsi="Arial"/>
          <w:sz w:val="22"/>
          <w:szCs w:val="22"/>
        </w:rPr>
        <w:t xml:space="preserve">Landis, J. R., &amp; Koch, G. G. (1977). The measurement of observer agreement for categorical data. Biometrics, 33(1), 159–174. https://doi.org/10.2307/2529310</w:t>
      </w:r>
    </w:p>
    <w:p>
      <w:pPr>
        <w:spacing w:after="140" w:line="280"/>
        <w:jc w:val="both"/>
      </w:pPr>
      <w:r>
        <w:rPr>
          <w:rFonts w:ascii="Arial" w:cs="Arial" w:eastAsia="Arial" w:hAnsi="Arial"/>
          <w:sz w:val="22"/>
          <w:szCs w:val="22"/>
        </w:rPr>
        <w:t xml:space="preserve">Lévy, P., Kohler, M., McNicholas, W. T., Barbé, F., McEvoy, R. D., Somers, V. K., ... &amp; Pépin, J.-L. (2015). Obstructive sleep apnoea syndrome. Nature Reviews Disease Primers, 1, 15015. https://doi.org/10.1038/nrdp.2015.15</w:t>
      </w:r>
    </w:p>
    <w:p>
      <w:pPr>
        <w:spacing w:after="140" w:line="280"/>
        <w:jc w:val="both"/>
      </w:pPr>
      <w:r>
        <w:rPr>
          <w:rFonts w:ascii="Arial" w:cs="Arial" w:eastAsia="Arial" w:hAnsi="Arial"/>
          <w:sz w:val="22"/>
          <w:szCs w:val="22"/>
        </w:rPr>
        <w:t xml:space="preserve">Wasserstein, R. L., &amp; Lazar, N. A. (2016). The ASA statement on p-values: context, process, and purpose. The American Statistician, 70(2), 129–133. https://doi.org/10.1080/00031305.2016.1154108</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e15e94990bee57b305d4d6bad925448f31315.png"/><Relationship Id="rId8" Type="http://schemas.openxmlformats.org/officeDocument/2006/relationships/image" Target="media/72fd25bdab5304ae152bf7327f9d3f01c2eb5a36.png"/><Relationship Id="rId9" Type="http://schemas.openxmlformats.org/officeDocument/2006/relationships/image" Target="media/ec46058aedc3c582849c348d5487a3e8f7b9f115.png"/><Relationship Id="rId10" Type="http://schemas.openxmlformats.org/officeDocument/2006/relationships/image" Target="media/30ed65e704d426f7c0b6ae535a321183d9c86d0f.png"/><Relationship Id="rId11" Type="http://schemas.openxmlformats.org/officeDocument/2006/relationships/image" Target="media/07b91d879430d821ce956cd93c5354177e393008.png"/><Relationship Id="rId12" Type="http://schemas.openxmlformats.org/officeDocument/2006/relationships/image" Target="media/ded81fafbd9a40f231b82061e73cc7b7a773c3d8.png"/><Relationship Id="rId13" Type="http://schemas.openxmlformats.org/officeDocument/2006/relationships/image" Target="media/5f0f2fbb2fc794102537bf8da81eb8bfae0dae3e.png"/><Relationship Id="rId14" Type="http://schemas.openxmlformats.org/officeDocument/2006/relationships/image" Target="media/3bfa06e85ce23b7150935be73d586595119a9841.png"/><Relationship Id="rId15" Type="http://schemas.openxmlformats.org/officeDocument/2006/relationships/image" Target="media/63cdd01e4519bc4068c50c4aeff9ffc23434739d.png"/><Relationship Id="rId16" Type="http://schemas.openxmlformats.org/officeDocument/2006/relationships/image" Target="media/e7af4f3a50502b35c6e5bd322745a2c55f1cad5d.png"/><Relationship Id="rId17" Type="http://schemas.openxmlformats.org/officeDocument/2006/relationships/image" Target="media/6baea437ae82781a281acb37996d17ef4dc6cf04.png"/><Relationship Id="rId18" Type="http://schemas.openxmlformats.org/officeDocument/2006/relationships/image" Target="media/878dd104acded6ace186bd479cb48afe88466705.png"/><Relationship Id="rId19" Type="http://schemas.openxmlformats.org/officeDocument/2006/relationships/image" Target="media/80ad12abeb479142fb374260ae0f08a2be524299.png"/><Relationship Id="rId20" Type="http://schemas.openxmlformats.org/officeDocument/2006/relationships/image" Target="media/4f39ef2d3bbb30debb21d28e09b5ce4e5500e35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2026-05-26T23:07:35.745Z</dcterms:created>
  <dcterms:modified xsi:type="dcterms:W3CDTF">2026-05-26T23:07:35.745Z</dcterms:modified>
</cp:coreProperties>
</file>

<file path=docProps/custom.xml><?xml version="1.0" encoding="utf-8"?>
<Properties xmlns="http://schemas.openxmlformats.org/officeDocument/2006/custom-properties" xmlns:vt="http://schemas.openxmlformats.org/officeDocument/2006/docPropsVTypes"/>
</file>