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A6185" w14:textId="77777777" w:rsidR="001C68D0" w:rsidRDefault="00000000">
      <w:pPr>
        <w:spacing w:after="80"/>
      </w:pPr>
      <w:r>
        <w:rPr>
          <w:b/>
          <w:bCs/>
          <w:color w:val="6B7280"/>
          <w:sz w:val="20"/>
          <w:szCs w:val="20"/>
        </w:rPr>
        <w:t>CAPÍTULO 6</w:t>
      </w:r>
    </w:p>
    <w:p w14:paraId="6EFBE529" w14:textId="77777777" w:rsidR="001C68D0" w:rsidRDefault="00000000">
      <w:pPr>
        <w:spacing w:after="100"/>
      </w:pPr>
      <w:r>
        <w:rPr>
          <w:b/>
          <w:bCs/>
          <w:color w:val="1E3A5F"/>
          <w:sz w:val="36"/>
          <w:szCs w:val="36"/>
        </w:rPr>
        <w:t>Modelado predictivo basado en PAC: acoplamiento evento–estado, severidad y riesgo fisiológico nocturno</w:t>
      </w:r>
    </w:p>
    <w:p w14:paraId="4E4132D3" w14:textId="7ED7C471" w:rsidR="003A30C8" w:rsidRPr="004A2F72" w:rsidRDefault="003A30C8" w:rsidP="003A30C8">
      <w:pPr>
        <w:pBdr>
          <w:bottom w:val="single" w:sz="6" w:space="0" w:color="1E3A5F"/>
        </w:pBdr>
        <w:spacing w:after="400"/>
        <w:rPr>
          <w:rFonts w:asciiTheme="minorHAnsi" w:hAnsiTheme="minorHAnsi"/>
        </w:rPr>
      </w:pPr>
      <w:r>
        <w:rPr>
          <w:rFonts w:asciiTheme="minorHAnsi" w:hAnsiTheme="minorHAnsi"/>
          <w:i/>
          <w:iCs/>
          <w:color w:val="6B7280"/>
          <w:sz w:val="18"/>
          <w:szCs w:val="18"/>
        </w:rPr>
        <w:t xml:space="preserve">Versión </w:t>
      </w:r>
      <w:r>
        <w:rPr>
          <w:rFonts w:asciiTheme="minorHAnsi" w:hAnsiTheme="minorHAnsi"/>
          <w:i/>
          <w:iCs/>
          <w:color w:val="6B7280"/>
          <w:sz w:val="18"/>
          <w:szCs w:val="18"/>
        </w:rPr>
        <w:t>7</w:t>
      </w:r>
      <w:r>
        <w:rPr>
          <w:rFonts w:asciiTheme="minorHAnsi" w:hAnsiTheme="minorHAnsi"/>
          <w:i/>
          <w:iCs/>
          <w:color w:val="6B7280"/>
          <w:sz w:val="18"/>
          <w:szCs w:val="18"/>
        </w:rPr>
        <w:t xml:space="preserve">  ·  Mayo 2026</w:t>
      </w:r>
    </w:p>
    <w:p w14:paraId="3AE8820B" w14:textId="77777777" w:rsidR="001C68D0" w:rsidRDefault="00000000">
      <w:pPr>
        <w:pStyle w:val="Ttulo2"/>
      </w:pPr>
      <w:r>
        <w:t>6.1  Introducción</w:t>
      </w:r>
    </w:p>
    <w:p w14:paraId="04D1AEAD" w14:textId="77777777" w:rsidR="001C68D0" w:rsidRDefault="00000000">
      <w:pPr>
        <w:spacing w:after="140" w:line="280" w:lineRule="auto"/>
        <w:jc w:val="both"/>
      </w:pPr>
      <w:r>
        <w:t>Este capítulo integra los resultados de tres notebooks del pipeline PAC_v3. NB05 (sección §6.3–6.7) analiza el acoplamiento entre eventos de desaturación de oxígeno (EDOs) y estados PAC, construye el coupling index nocturno y clasifica las trayectorias fisiológicas nocturnas en tres fenotipos dinámicos. NB06 (sección §6.8) cuantifica, mediante un experimento de ablación con validación leave-one-patient-out (LOPO-CV), la contribución predictiva relativa de los distintos grupos de features —con especial énfasis en los PAC States como familia predictora dominante—. NB07 (secciones §6.9–6.12) construye dos módulos complementarios: un modelo de predicción a nivel de evento individual (Bloque B) y un clasificador binario de riesgo nocturno (Bloque C), cuyos outputs se integran en un índice continuo de vulnerabilidad fisiológica (Bloque D: Risk Score PAC, escala 0–100).</w:t>
      </w:r>
    </w:p>
    <w:p w14:paraId="7B26CBAE" w14:textId="77777777" w:rsidR="001C68D0" w:rsidRDefault="00000000">
      <w:pPr>
        <w:spacing w:after="140" w:line="280" w:lineRule="auto"/>
        <w:jc w:val="both"/>
      </w:pPr>
      <w:r>
        <w:t>El capítulo anterior (§5.6) estableció que las tres escalas del sistema PAC States capturarían dimensiones fisiológicas distintas de la noche: la escala S como espejo de la microdinámica evento a evento, la escala M como proxy de la acumulación hipóxica sostenida y la escala L como descriptor de la tendencia arquitectural global. El presente capítulo desplaza el eje desde la caracterización descriptiva hacia la pregunta predictiva: ¿contienen esas representaciones información suficiente para anticipar la severidad de un evento, estratificar el riesgo de una noche y construir un índice fisiológico continuo de vulnerabilidad?</w:t>
      </w:r>
    </w:p>
    <w:p w14:paraId="1A60D231" w14:textId="77777777" w:rsidR="001C68D0" w:rsidRDefault="00000000">
      <w:pPr>
        <w:spacing w:after="140" w:line="280" w:lineRule="auto"/>
        <w:jc w:val="both"/>
      </w:pPr>
      <w:r>
        <w:t>La hipótesis de trabajo es que la severidad de un evento de desaturación nocturna no depende únicamente de sus propiedades morfológicas internas, sino también del contexto dinámico en que ocurre. Del mismo modo, el riesgo de una noche no se agota en su conteo de eventos: depende de la arquitectura temporal de esos eventos, de la forma en que se organizan respecto a los estados fisiológicos y de la capacidad que muestra el organismo para recuperarse de ellos. El modelado predictivo PAC busca cuantificar esa dimensión contextual y dinámica, complementando los índices clásicos sin pretender reemplazarlos.</w:t>
      </w:r>
    </w:p>
    <w:p w14:paraId="0F6C5E92" w14:textId="77777777" w:rsidR="001C68D0" w:rsidRDefault="00000000">
      <w:pPr>
        <w:spacing w:after="140" w:line="280" w:lineRule="auto"/>
        <w:jc w:val="both"/>
      </w:pPr>
      <w:r>
        <w:t>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14:paraId="4B74C66E" w14:textId="77777777" w:rsidR="001C68D0" w:rsidRDefault="00000000">
      <w:pPr>
        <w:pStyle w:val="Ttulo2"/>
      </w:pPr>
      <w:r>
        <w:t>6.2  Datos, cohorte y diseño analítico</w:t>
      </w:r>
    </w:p>
    <w:p w14:paraId="59ED3710" w14:textId="77777777" w:rsidR="001C68D0" w:rsidRDefault="00000000">
      <w:pPr>
        <w:spacing w:after="140" w:line="280" w:lineRule="auto"/>
        <w:jc w:val="both"/>
      </w:pPr>
      <w:r>
        <w:lastRenderedPageBreak/>
        <w:t>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análisis de acoplamiento de NB05 se realizaron sobre los 12 pacientes de la cohorte in_strict (80.353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14:paraId="7C663720" w14:textId="77777777" w:rsidR="001C68D0" w:rsidRDefault="00000000">
      <w:pPr>
        <w:spacing w:after="140" w:line="280" w:lineRule="auto"/>
        <w:jc w:val="both"/>
      </w:pPr>
      <w:r>
        <w:t>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14:paraId="785DD06A" w14:textId="77777777" w:rsidR="001C68D0" w:rsidRDefault="00000000">
      <w:pPr>
        <w:spacing w:after="140" w:line="280" w:lineRule="auto"/>
        <w:jc w:val="both"/>
      </w:pPr>
      <w:r>
        <w:t>La Tabla 6.1 sintetiza los componentes del diseño predictivo del capítulo.</w:t>
      </w:r>
    </w:p>
    <w:p w14:paraId="42117435" w14:textId="77777777" w:rsidR="001C68D0"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1"/>
        <w:gridCol w:w="2403"/>
        <w:gridCol w:w="985"/>
        <w:gridCol w:w="2126"/>
        <w:gridCol w:w="1971"/>
      </w:tblGrid>
      <w:tr w:rsidR="001C68D0" w14:paraId="534E6204"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A3FF47" w14:textId="77777777" w:rsidR="001C68D0"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8852174" w14:textId="77777777" w:rsidR="001C68D0"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61571B" w14:textId="77777777" w:rsidR="001C68D0"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F5752DD" w14:textId="77777777" w:rsidR="001C68D0"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412E0FF" w14:textId="77777777" w:rsidR="001C68D0" w:rsidRDefault="00000000">
            <w:r>
              <w:rPr>
                <w:b/>
                <w:bCs/>
                <w:color w:val="FFFFFF"/>
                <w:sz w:val="19"/>
                <w:szCs w:val="19"/>
              </w:rPr>
              <w:t>Cohorte</w:t>
            </w:r>
          </w:p>
        </w:tc>
      </w:tr>
      <w:tr w:rsidR="001C68D0" w14:paraId="4EB18F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302F5" w14:textId="77777777" w:rsidR="001C68D0"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519C4" w14:textId="77777777" w:rsidR="001C68D0"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A46DA" w14:textId="77777777" w:rsidR="001C68D0"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CE58B" w14:textId="77777777" w:rsidR="001C68D0"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F0938" w14:textId="77777777" w:rsidR="001C68D0" w:rsidRDefault="00000000">
            <w:r>
              <w:rPr>
                <w:sz w:val="19"/>
                <w:szCs w:val="19"/>
              </w:rPr>
              <w:t>8 pac., 76.053 ev.</w:t>
            </w:r>
          </w:p>
        </w:tc>
      </w:tr>
      <w:tr w:rsidR="001C68D0" w14:paraId="374E2E2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DF9E5B" w14:textId="77777777" w:rsidR="001C68D0"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9CAC97E" w14:textId="77777777" w:rsidR="001C68D0"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3A0EF11" w14:textId="77777777" w:rsidR="001C68D0"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00489B" w14:textId="77777777" w:rsidR="001C68D0"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EE054D" w14:textId="77777777" w:rsidR="001C68D0" w:rsidRDefault="00000000">
            <w:r>
              <w:rPr>
                <w:sz w:val="19"/>
                <w:szCs w:val="19"/>
              </w:rPr>
              <w:t>8 pac., 494 noches</w:t>
            </w:r>
          </w:p>
        </w:tc>
      </w:tr>
      <w:tr w:rsidR="001C68D0" w14:paraId="0CB879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D1A88" w14:textId="77777777" w:rsidR="001C68D0"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FAC20" w14:textId="77777777" w:rsidR="001C68D0"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AFD7F" w14:textId="77777777" w:rsidR="001C68D0"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E1FA" w14:textId="77777777" w:rsidR="001C68D0"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922CA" w14:textId="77777777" w:rsidR="001C68D0" w:rsidRDefault="00000000">
            <w:r>
              <w:rPr>
                <w:sz w:val="19"/>
                <w:szCs w:val="19"/>
              </w:rPr>
              <w:t>8 pac., 540 noches</w:t>
            </w:r>
          </w:p>
        </w:tc>
      </w:tr>
      <w:tr w:rsidR="001C68D0" w14:paraId="1A59EF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1DB0BC" w14:textId="77777777" w:rsidR="001C68D0"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A11E115" w14:textId="77777777" w:rsidR="001C68D0"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AF4B2BA" w14:textId="77777777" w:rsidR="001C68D0"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8796A13" w14:textId="77777777" w:rsidR="001C68D0"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4E7594E" w14:textId="77777777" w:rsidR="001C68D0" w:rsidRDefault="00000000">
            <w:r>
              <w:rPr>
                <w:sz w:val="19"/>
                <w:szCs w:val="19"/>
              </w:rPr>
              <w:t>Cohorte estricta</w:t>
            </w:r>
          </w:p>
        </w:tc>
      </w:tr>
    </w:tbl>
    <w:p w14:paraId="074BF692" w14:textId="77777777" w:rsidR="001C68D0"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in_strict (80.353 eventos, 560 noches). El modelo nocturno usa 494 noches de las 540 tras descartar noches con features faltantes.</w:t>
      </w:r>
    </w:p>
    <w:p w14:paraId="083F0028" w14:textId="77777777" w:rsidR="001C68D0" w:rsidRDefault="00000000">
      <w:pPr>
        <w:pStyle w:val="Ttulo2"/>
      </w:pPr>
      <w:r>
        <w:t>6.3  Acoplamiento morfotipo–estado PAC  (NB05, Sección 2)</w:t>
      </w:r>
    </w:p>
    <w:p w14:paraId="73F5AC16" w14:textId="77777777" w:rsidR="001C68D0" w:rsidRDefault="00000000">
      <w:pPr>
        <w:spacing w:after="140" w:line="280" w:lineRule="auto"/>
        <w:jc w:val="both"/>
      </w:pPr>
      <w:r>
        <w:t xml:space="preserve">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w:t>
      </w:r>
      <w:r>
        <w:lastRenderedPageBreak/>
        <w:t>ventana temporal: V = 0,354 en escala S (30 s), V = 0,230 en escala M (5 min) y V = 0,196 en escala L (30 min).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32D7B29E" w14:textId="77777777" w:rsidR="001C68D0" w:rsidRDefault="00000000">
      <w:pPr>
        <w:spacing w:after="140" w:line="280" w:lineRule="auto"/>
        <w:jc w:val="both"/>
      </w:pPr>
      <w:r>
        <w:t>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14:paraId="17EC1D29" w14:textId="77777777" w:rsidR="001C68D0" w:rsidRDefault="00000000">
      <w:pPr>
        <w:spacing w:after="140" w:line="280" w:lineRule="auto"/>
        <w:jc w:val="both"/>
      </w:pPr>
      <w:r>
        <w:t>La cuantificación del riesgo relativo (RR) por estado revela la magnitud de la asociación. Con una probabilidad marginal de evento severo de 5,73 % (4.602 eventos C4+C5 sobre 80.353 totales), determinados estados multiplican ese riesgo de forma considerable. El estado S6 presenta un RR = 4,9; a escala M, M1 presenta RR = 3,3; a escala L, L0 presenta RR = 2,0. Los valores decrecen con la escala temporal, en paralelo a la disminución de V de Cramér. La Tabla 6.2 sintetiza estos resultados.</w:t>
      </w:r>
    </w:p>
    <w:p w14:paraId="5827657D" w14:textId="77777777" w:rsidR="001C68D0"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1500"/>
        <w:gridCol w:w="1800"/>
        <w:gridCol w:w="1766"/>
      </w:tblGrid>
      <w:tr w:rsidR="001C68D0" w14:paraId="02990306"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6D6411" w14:textId="77777777" w:rsidR="001C68D0"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1A4E373" w14:textId="77777777" w:rsidR="001C68D0"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DB6959C" w14:textId="77777777" w:rsidR="001C68D0"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964B8E" w14:textId="77777777" w:rsidR="001C68D0"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DD3DCF" w14:textId="77777777" w:rsidR="001C68D0" w:rsidRDefault="00000000">
            <w:r>
              <w:rPr>
                <w:b/>
                <w:bCs/>
                <w:color w:val="FFFFFF"/>
                <w:sz w:val="19"/>
                <w:szCs w:val="19"/>
              </w:rPr>
              <w:t>RR</w:t>
            </w:r>
          </w:p>
        </w:tc>
      </w:tr>
      <w:tr w:rsidR="001C68D0" w14:paraId="2694D52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5A1F8" w14:textId="77777777" w:rsidR="001C68D0"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3880E" w14:textId="77777777" w:rsidR="001C68D0"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74D37" w14:textId="77777777" w:rsidR="001C68D0"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FF70" w14:textId="77777777" w:rsidR="001C68D0"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937F6" w14:textId="77777777" w:rsidR="001C68D0" w:rsidRDefault="00000000">
            <w:r>
              <w:rPr>
                <w:sz w:val="19"/>
                <w:szCs w:val="19"/>
              </w:rPr>
              <w:t>4,9×</w:t>
            </w:r>
          </w:p>
        </w:tc>
      </w:tr>
      <w:tr w:rsidR="001C68D0" w14:paraId="66D88A4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6C0F0BC" w14:textId="77777777" w:rsidR="001C68D0"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E03A69" w14:textId="77777777" w:rsidR="001C68D0"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F2D8705" w14:textId="77777777" w:rsidR="001C68D0"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0A1791F" w14:textId="77777777" w:rsidR="001C68D0" w:rsidRDefault="00000000">
            <w:r>
              <w:rPr>
                <w:sz w:val="19"/>
                <w:szCs w:val="19"/>
              </w:rPr>
              <w:t>18,9 %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DB07DD8" w14:textId="77777777" w:rsidR="001C68D0" w:rsidRDefault="00000000">
            <w:r>
              <w:rPr>
                <w:sz w:val="19"/>
                <w:szCs w:val="19"/>
              </w:rPr>
              <w:t>3,3×</w:t>
            </w:r>
          </w:p>
        </w:tc>
      </w:tr>
      <w:tr w:rsidR="001C68D0" w14:paraId="623389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EAD14" w14:textId="77777777" w:rsidR="001C68D0"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28A78" w14:textId="77777777" w:rsidR="001C68D0"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6EBE5" w14:textId="77777777" w:rsidR="001C68D0"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482EB" w14:textId="77777777" w:rsidR="001C68D0" w:rsidRDefault="00000000">
            <w:r>
              <w:rPr>
                <w:sz w:val="19"/>
                <w:szCs w:val="19"/>
              </w:rPr>
              <w:t>11,5 %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F12DE" w14:textId="77777777" w:rsidR="001C68D0" w:rsidRDefault="00000000">
            <w:r>
              <w:rPr>
                <w:sz w:val="19"/>
                <w:szCs w:val="19"/>
              </w:rPr>
              <w:t>2,0×</w:t>
            </w:r>
          </w:p>
        </w:tc>
      </w:tr>
    </w:tbl>
    <w:p w14:paraId="6E306A7E" w14:textId="77777777" w:rsidR="001C68D0" w:rsidRDefault="00000000">
      <w:pPr>
        <w:spacing w:after="220"/>
        <w:ind w:left="220"/>
      </w:pPr>
      <w:r>
        <w:rPr>
          <w:i/>
          <w:iCs/>
          <w:color w:val="444444"/>
          <w:sz w:val="18"/>
          <w:szCs w:val="18"/>
        </w:rPr>
        <w:t>Nota. P(severo) marginal = 5,73 % (4.602 eventos C4+C5 / 80.353 totales, 12 pacientes). RR = P(severo | estado) / P(severo) marginal. Origen: NB05, Sección 2.</w:t>
      </w:r>
    </w:p>
    <w:p w14:paraId="52724B2C" w14:textId="77777777" w:rsidR="001C68D0" w:rsidRDefault="00000000">
      <w:pPr>
        <w:spacing w:before="120"/>
        <w:jc w:val="center"/>
      </w:pPr>
      <w:r>
        <w:rPr>
          <w:noProof/>
        </w:rPr>
        <w:drawing>
          <wp:inline distT="0" distB="0" distL="0" distR="0" wp14:anchorId="4524BA9E" wp14:editId="2D181305">
            <wp:extent cx="5238750" cy="1714500"/>
            <wp:effectExtent l="0" t="0" r="0" b="0"/>
            <wp:docPr id="1"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714500"/>
                    </a:xfrm>
                    <a:prstGeom prst="rect">
                      <a:avLst/>
                    </a:prstGeom>
                  </pic:spPr>
                </pic:pic>
              </a:graphicData>
            </a:graphic>
          </wp:inline>
        </w:drawing>
      </w:r>
    </w:p>
    <w:p w14:paraId="05BACA4E" w14:textId="77777777" w:rsidR="001C68D0" w:rsidRDefault="00000000">
      <w:pPr>
        <w:spacing w:before="80" w:after="60"/>
        <w:ind w:left="220"/>
      </w:pPr>
      <w:r>
        <w:rPr>
          <w:b/>
          <w:bCs/>
          <w:color w:val="1E3A5F"/>
          <w:sz w:val="20"/>
          <w:szCs w:val="20"/>
        </w:rPr>
        <w:t xml:space="preserve">Figura 6.1. </w:t>
      </w:r>
      <w:r>
        <w:rPr>
          <w:i/>
          <w:iCs/>
          <w:sz w:val="20"/>
          <w:szCs w:val="20"/>
        </w:rPr>
        <w:t>Distribución condicional P(morfotipo | estado PAC) en las tres escalas. Los estados patológicos (S6, M1, L0) concentran una proporción marcadamente superior de morfotipos C4 o C5. V de Cramér: S = 0,354; M = 0,230; L = 0,196.</w:t>
      </w:r>
    </w:p>
    <w:p w14:paraId="69EFB45A" w14:textId="77777777" w:rsidR="001C68D0" w:rsidRDefault="00000000">
      <w:pPr>
        <w:spacing w:after="220"/>
        <w:ind w:left="220"/>
      </w:pPr>
      <w:r>
        <w:rPr>
          <w:i/>
          <w:iCs/>
          <w:color w:val="444444"/>
          <w:sz w:val="18"/>
          <w:szCs w:val="18"/>
        </w:rPr>
        <w:t>Nota. Origen: NB05, Sección 2. n = 80.353 eventos, cohorte in_strict (12 pacientes).</w:t>
      </w:r>
    </w:p>
    <w:p w14:paraId="2BE6CC5E" w14:textId="77777777" w:rsidR="001C68D0" w:rsidRDefault="00000000">
      <w:pPr>
        <w:spacing w:before="120"/>
        <w:jc w:val="center"/>
      </w:pPr>
      <w:r>
        <w:rPr>
          <w:noProof/>
        </w:rPr>
        <w:lastRenderedPageBreak/>
        <w:drawing>
          <wp:inline distT="0" distB="0" distL="0" distR="0" wp14:anchorId="0F9E7592" wp14:editId="4D1111D8">
            <wp:extent cx="5238750" cy="1533525"/>
            <wp:effectExtent l="0" t="0" r="0" b="0"/>
            <wp:docPr id="233725281"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1533525"/>
                    </a:xfrm>
                    <a:prstGeom prst="rect">
                      <a:avLst/>
                    </a:prstGeom>
                  </pic:spPr>
                </pic:pic>
              </a:graphicData>
            </a:graphic>
          </wp:inline>
        </w:drawing>
      </w:r>
    </w:p>
    <w:p w14:paraId="503B0CA9" w14:textId="77777777" w:rsidR="001C68D0" w:rsidRDefault="00000000">
      <w:pPr>
        <w:spacing w:before="80" w:after="60"/>
        <w:ind w:left="220"/>
      </w:pPr>
      <w:r>
        <w:rPr>
          <w:b/>
          <w:bCs/>
          <w:color w:val="1E3A5F"/>
          <w:sz w:val="20"/>
          <w:szCs w:val="20"/>
        </w:rPr>
        <w:t xml:space="preserve">Figura 6.2. </w:t>
      </w:r>
      <w:r>
        <w:rPr>
          <w:i/>
          <w:iCs/>
          <w:sz w:val="20"/>
          <w:szCs w:val="20"/>
        </w:rPr>
        <w:t>Riesgo relativo (RR) de evento severo por estado PAC en las tres escalas. Los estados patológicos S6, M1 y L0 presentan los RR más elevados. La magnitud del RR decrece con la escala temporal de forma consistente con la disminución de V de Cramér.</w:t>
      </w:r>
    </w:p>
    <w:p w14:paraId="0461996C" w14:textId="77777777" w:rsidR="001C68D0" w:rsidRDefault="00000000">
      <w:pPr>
        <w:spacing w:after="220"/>
        <w:ind w:left="220"/>
      </w:pPr>
      <w:r>
        <w:rPr>
          <w:i/>
          <w:iCs/>
          <w:color w:val="444444"/>
          <w:sz w:val="18"/>
          <w:szCs w:val="18"/>
        </w:rPr>
        <w:t>Nota. Origen: NB05, Sección 2. P(severo) marginal = 5,73 %. n = 80.353 eventos, 12 pacientes.</w:t>
      </w:r>
    </w:p>
    <w:p w14:paraId="2F477889" w14:textId="77777777" w:rsidR="001C68D0" w:rsidRDefault="00000000">
      <w:pPr>
        <w:pStyle w:val="Ttulo2"/>
      </w:pPr>
      <w:r>
        <w:t>6.4  Coupling Index: cuantificación nocturna del acoplamiento patológico  (NB05, Sección 3)</w:t>
      </w:r>
    </w:p>
    <w:p w14:paraId="63E7F15D" w14:textId="77777777" w:rsidR="001C68D0"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54237592" w14:textId="77777777" w:rsidR="001C68D0" w:rsidRDefault="00000000">
      <w:pPr>
        <w:spacing w:after="140" w:line="280" w:lineRule="auto"/>
        <w:jc w:val="both"/>
      </w:pPr>
      <w:r>
        <w:t>Un hallazgo relevante es la independencia casi total entre las escalas S y M: la correlación entre ci_s y ci_m es r = 0,056, prácticamente nula. En contraste, ci_m y ci_l muestran una correlación moderada (r = 0,364). Este patrón sugiere que el acoplamiento evento–estado en la microdinámica y en la regulación intermedia son fenómenos sustancialmente no redundantes. La Tabla 6.3 sintetiza la definición operativa del CI.</w:t>
      </w:r>
    </w:p>
    <w:p w14:paraId="6F623462" w14:textId="77777777" w:rsidR="001C68D0"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1500"/>
        <w:gridCol w:w="2100"/>
        <w:gridCol w:w="2866"/>
      </w:tblGrid>
      <w:tr w:rsidR="001C68D0" w14:paraId="30DBA1C6"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5808558" w14:textId="77777777" w:rsidR="001C68D0"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E885078" w14:textId="77777777" w:rsidR="001C68D0"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E83DAB7" w14:textId="77777777" w:rsidR="001C68D0"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36A977E" w14:textId="77777777" w:rsidR="001C68D0"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B427DAA" w14:textId="77777777" w:rsidR="001C68D0" w:rsidRDefault="00000000">
            <w:r>
              <w:rPr>
                <w:b/>
                <w:bCs/>
                <w:color w:val="FFFFFF"/>
                <w:sz w:val="19"/>
                <w:szCs w:val="19"/>
              </w:rPr>
              <w:t>Interpretación fisiológica</w:t>
            </w:r>
          </w:p>
        </w:tc>
      </w:tr>
      <w:tr w:rsidR="001C68D0" w14:paraId="46495C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9F98D" w14:textId="77777777" w:rsidR="001C68D0"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78125" w14:textId="77777777" w:rsidR="001C68D0"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24A12" w14:textId="77777777" w:rsidR="001C68D0"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08860" w14:textId="77777777" w:rsidR="001C68D0"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CC409" w14:textId="77777777" w:rsidR="001C68D0" w:rsidRDefault="00000000">
            <w:r>
              <w:rPr>
                <w:sz w:val="19"/>
                <w:szCs w:val="19"/>
              </w:rPr>
              <w:t>Acoplamiento en microdinámica evento a evento</w:t>
            </w:r>
          </w:p>
        </w:tc>
      </w:tr>
      <w:tr w:rsidR="001C68D0" w14:paraId="616683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75EE1DC" w14:textId="77777777" w:rsidR="001C68D0"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0B5FEE" w14:textId="77777777" w:rsidR="001C68D0"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6C1156" w14:textId="77777777" w:rsidR="001C68D0"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E21550" w14:textId="77777777" w:rsidR="001C68D0" w:rsidRDefault="00000000">
            <w:r>
              <w:rPr>
                <w:sz w:val="19"/>
                <w:szCs w:val="19"/>
              </w:rPr>
              <w:t>r(ci_s, ci_m) = 0,056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588EAD" w14:textId="77777777" w:rsidR="001C68D0" w:rsidRDefault="00000000">
            <w:r>
              <w:rPr>
                <w:sz w:val="19"/>
                <w:szCs w:val="19"/>
              </w:rPr>
              <w:t>Acoplamiento en regulación intermedia</w:t>
            </w:r>
          </w:p>
        </w:tc>
      </w:tr>
      <w:tr w:rsidR="001C68D0" w14:paraId="5C4FA4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6FB02" w14:textId="77777777" w:rsidR="001C68D0" w:rsidRDefault="00000000">
            <w:r>
              <w:rPr>
                <w:sz w:val="19"/>
                <w:szCs w:val="19"/>
              </w:rPr>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848C1" w14:textId="77777777" w:rsidR="001C68D0"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BE375" w14:textId="77777777" w:rsidR="001C68D0"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20D6C" w14:textId="77777777" w:rsidR="001C68D0" w:rsidRDefault="00000000">
            <w:r>
              <w:rPr>
                <w:sz w:val="19"/>
                <w:szCs w:val="19"/>
              </w:rPr>
              <w:t>r(ci_m, ci_l) = 0,364</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99CC3" w14:textId="77777777" w:rsidR="001C68D0" w:rsidRDefault="00000000">
            <w:r>
              <w:rPr>
                <w:sz w:val="19"/>
                <w:szCs w:val="19"/>
              </w:rPr>
              <w:t>Acoplamiento en arquitectura nocturna global</w:t>
            </w:r>
          </w:p>
        </w:tc>
      </w:tr>
    </w:tbl>
    <w:p w14:paraId="7678F73D" w14:textId="77777777" w:rsidR="001C68D0" w:rsidRDefault="00000000">
      <w:pPr>
        <w:spacing w:after="220"/>
        <w:ind w:left="220"/>
      </w:pPr>
      <w:r>
        <w:rPr>
          <w:i/>
          <w:iCs/>
          <w:color w:val="444444"/>
          <w:sz w:val="18"/>
          <w:szCs w:val="18"/>
        </w:rPr>
        <w:t>Nota. Origen: NB05, Sección 3.</w:t>
      </w:r>
    </w:p>
    <w:p w14:paraId="19B1D8FF" w14:textId="77777777" w:rsidR="001C68D0" w:rsidRDefault="00000000">
      <w:pPr>
        <w:spacing w:before="120"/>
        <w:jc w:val="center"/>
      </w:pPr>
      <w:r>
        <w:rPr>
          <w:noProof/>
        </w:rPr>
        <w:lastRenderedPageBreak/>
        <w:drawing>
          <wp:inline distT="0" distB="0" distL="0" distR="0" wp14:anchorId="22E660F7" wp14:editId="7B22A0DE">
            <wp:extent cx="5238750" cy="1628775"/>
            <wp:effectExtent l="0" t="0" r="0" b="0"/>
            <wp:docPr id="494786476"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1628775"/>
                    </a:xfrm>
                    <a:prstGeom prst="rect">
                      <a:avLst/>
                    </a:prstGeom>
                  </pic:spPr>
                </pic:pic>
              </a:graphicData>
            </a:graphic>
          </wp:inline>
        </w:drawing>
      </w:r>
    </w:p>
    <w:p w14:paraId="56DE6F73" w14:textId="77777777" w:rsidR="001C68D0" w:rsidRDefault="00000000">
      <w:pPr>
        <w:spacing w:before="80" w:after="60"/>
        <w:ind w:left="220"/>
      </w:pPr>
      <w:r>
        <w:rPr>
          <w:b/>
          <w:bCs/>
          <w:color w:val="1E3A5F"/>
          <w:sz w:val="20"/>
          <w:szCs w:val="20"/>
        </w:rPr>
        <w:t xml:space="preserve">Figura 6.3. </w:t>
      </w:r>
      <w:r>
        <w:rPr>
          <w:i/>
          <w:iCs/>
          <w:sz w:val="20"/>
          <w:szCs w:val="20"/>
        </w:rPr>
        <w:t>Coupling index (CI) en las tres escalas temporales. Cada punto representa una noche. La independencia entre ci_s y ci_m (r = 0,056) contrasta con la correlación moderada entre ci_m y ci_l (r = 0,364), confirmando que las tres escalas capturan dimensiones no redundantes del riesgo nocturno.</w:t>
      </w:r>
    </w:p>
    <w:p w14:paraId="2E666D30" w14:textId="77777777" w:rsidR="001C68D0" w:rsidRDefault="00000000">
      <w:pPr>
        <w:spacing w:after="220"/>
        <w:ind w:left="220"/>
      </w:pPr>
      <w:r>
        <w:rPr>
          <w:i/>
          <w:iCs/>
          <w:color w:val="444444"/>
          <w:sz w:val="18"/>
          <w:szCs w:val="18"/>
        </w:rPr>
        <w:t>Nota. Origen: NB05, Sección 3. n = 560 noches, cohorte in_strict (12 pacientes).</w:t>
      </w:r>
    </w:p>
    <w:p w14:paraId="2A779F2F" w14:textId="77777777" w:rsidR="001C68D0" w:rsidRDefault="00000000">
      <w:pPr>
        <w:spacing w:after="140" w:line="280" w:lineRule="auto"/>
        <w:jc w:val="both"/>
      </w:pPr>
      <w:r>
        <w:t>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14:paraId="4A229242" w14:textId="77777777" w:rsidR="001C68D0" w:rsidRDefault="00000000">
      <w:pPr>
        <w:pStyle w:val="Ttulo2"/>
      </w:pPr>
      <w:r>
        <w:t>6.5  Dinámica temporal peri-evento y resiliencia fisiológica  (NB05, Sección 4)</w:t>
      </w:r>
    </w:p>
    <w:p w14:paraId="2B51D30E" w14:textId="77777777" w:rsidR="001C68D0" w:rsidRDefault="00000000">
      <w:pPr>
        <w:spacing w:after="140" w:line="280" w:lineRule="auto"/>
        <w:jc w:val="both"/>
      </w:pPr>
      <w:r>
        <w:t>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14:paraId="7D1A9B32" w14:textId="77777777" w:rsidR="001C68D0"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00C0C893" w14:textId="77777777" w:rsidR="001C68D0"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2900"/>
        <w:gridCol w:w="2866"/>
      </w:tblGrid>
      <w:tr w:rsidR="001C68D0" w14:paraId="5DFAED8C"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DB692B" w14:textId="77777777" w:rsidR="001C68D0"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25E988C" w14:textId="77777777" w:rsidR="001C68D0"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20F16E4" w14:textId="77777777" w:rsidR="001C68D0"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7EDEF1C" w14:textId="77777777" w:rsidR="001C68D0" w:rsidRDefault="00000000">
            <w:r>
              <w:rPr>
                <w:b/>
                <w:bCs/>
                <w:color w:val="FFFFFF"/>
                <w:sz w:val="19"/>
                <w:szCs w:val="19"/>
              </w:rPr>
              <w:t>Colapsado (persiste en estado patológico)</w:t>
            </w:r>
          </w:p>
        </w:tc>
      </w:tr>
      <w:tr w:rsidR="001C68D0" w14:paraId="3D31BC8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7EEAB" w14:textId="77777777" w:rsidR="001C68D0"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C1C04" w14:textId="77777777" w:rsidR="001C68D0"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BB613" w14:textId="77777777" w:rsidR="001C68D0"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4AA9A" w14:textId="77777777" w:rsidR="001C68D0" w:rsidRDefault="00000000">
            <w:r>
              <w:rPr>
                <w:sz w:val="19"/>
                <w:szCs w:val="19"/>
              </w:rPr>
              <w:t>40,2 %</w:t>
            </w:r>
          </w:p>
        </w:tc>
      </w:tr>
      <w:tr w:rsidR="001C68D0" w14:paraId="1F9A938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1A2DC8" w14:textId="77777777" w:rsidR="001C68D0"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F5B27F9" w14:textId="77777777" w:rsidR="001C68D0"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195EE3" w14:textId="77777777" w:rsidR="001C68D0"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35A05BB" w14:textId="77777777" w:rsidR="001C68D0" w:rsidRDefault="00000000">
            <w:r>
              <w:rPr>
                <w:sz w:val="19"/>
                <w:szCs w:val="19"/>
              </w:rPr>
              <w:t>80,4 %</w:t>
            </w:r>
          </w:p>
        </w:tc>
      </w:tr>
      <w:tr w:rsidR="001C68D0" w14:paraId="5A2D16C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B600B" w14:textId="77777777" w:rsidR="001C68D0"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034FB" w14:textId="77777777" w:rsidR="001C68D0"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3063" w14:textId="77777777" w:rsidR="001C68D0"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63071" w14:textId="77777777" w:rsidR="001C68D0" w:rsidRDefault="00000000">
            <w:r>
              <w:rPr>
                <w:sz w:val="19"/>
                <w:szCs w:val="19"/>
              </w:rPr>
              <w:t>74,5 %</w:t>
            </w:r>
          </w:p>
        </w:tc>
      </w:tr>
    </w:tbl>
    <w:p w14:paraId="0ED06F59" w14:textId="77777777" w:rsidR="001C68D0"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14:paraId="6D4C57A3" w14:textId="77777777" w:rsidR="001C68D0" w:rsidRDefault="00000000">
      <w:pPr>
        <w:spacing w:before="120"/>
        <w:jc w:val="center"/>
      </w:pPr>
      <w:r>
        <w:rPr>
          <w:noProof/>
        </w:rPr>
        <w:lastRenderedPageBreak/>
        <w:drawing>
          <wp:inline distT="0" distB="0" distL="0" distR="0" wp14:anchorId="7A826D3D" wp14:editId="78A5C274">
            <wp:extent cx="5238750" cy="1628775"/>
            <wp:effectExtent l="0" t="0" r="0" b="0"/>
            <wp:docPr id="1287202913"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1628775"/>
                    </a:xfrm>
                    <a:prstGeom prst="rect">
                      <a:avLst/>
                    </a:prstGeom>
                  </pic:spPr>
                </pic:pic>
              </a:graphicData>
            </a:graphic>
          </wp:inline>
        </w:drawing>
      </w:r>
    </w:p>
    <w:p w14:paraId="24CAEBCC" w14:textId="77777777" w:rsidR="001C68D0" w:rsidRDefault="00000000">
      <w:pPr>
        <w:spacing w:before="80" w:after="60"/>
        <w:ind w:left="220"/>
      </w:pPr>
      <w:r>
        <w:rPr>
          <w:b/>
          <w:bCs/>
          <w:color w:val="1E3A5F"/>
          <w:sz w:val="20"/>
          <w:szCs w:val="20"/>
        </w:rPr>
        <w:t xml:space="preserve">Figura 6.4. </w:t>
      </w:r>
      <w:r>
        <w:rPr>
          <w:i/>
          <w:iCs/>
          <w:sz w:val="20"/>
          <w:szCs w:val="20"/>
        </w:rPr>
        <w:t>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14:paraId="17C4B406" w14:textId="77777777" w:rsidR="001C68D0" w:rsidRDefault="00000000">
      <w:pPr>
        <w:spacing w:after="220"/>
        <w:ind w:left="220"/>
      </w:pPr>
      <w:r>
        <w:rPr>
          <w:i/>
          <w:iCs/>
          <w:color w:val="444444"/>
          <w:sz w:val="18"/>
          <w:szCs w:val="18"/>
        </w:rPr>
        <w:t>Nota. Origen: NB05, Sección 4. n = 4.602 eventos C4+C5, cohorte in_strict (12 pacientes).</w:t>
      </w:r>
    </w:p>
    <w:p w14:paraId="703B0585" w14:textId="77777777" w:rsidR="001C68D0" w:rsidRDefault="00000000">
      <w:pPr>
        <w:pStyle w:val="Ttulo2"/>
      </w:pPr>
      <w:r>
        <w:t>6.6  Dinámica Markoviana y corredores de vulnerabilidad  (NB05, Sección 5)</w:t>
      </w:r>
    </w:p>
    <w:p w14:paraId="234FBA20" w14:textId="77777777" w:rsidR="001C68D0"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44A42C60" w14:textId="77777777" w:rsidR="001C68D0"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14:paraId="6947350A" w14:textId="77777777" w:rsidR="001C68D0" w:rsidRDefault="00000000">
      <w:pPr>
        <w:spacing w:before="120"/>
        <w:jc w:val="center"/>
      </w:pPr>
      <w:r>
        <w:rPr>
          <w:noProof/>
        </w:rPr>
        <w:drawing>
          <wp:inline distT="0" distB="0" distL="0" distR="0" wp14:anchorId="0A21E1BE" wp14:editId="50DDE467">
            <wp:extent cx="5238750" cy="1524000"/>
            <wp:effectExtent l="0" t="0" r="0" b="0"/>
            <wp:docPr id="1341482820"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1524000"/>
                    </a:xfrm>
                    <a:prstGeom prst="rect">
                      <a:avLst/>
                    </a:prstGeom>
                  </pic:spPr>
                </pic:pic>
              </a:graphicData>
            </a:graphic>
          </wp:inline>
        </w:drawing>
      </w:r>
    </w:p>
    <w:p w14:paraId="6BCABC7D" w14:textId="77777777" w:rsidR="001C68D0" w:rsidRDefault="00000000">
      <w:pPr>
        <w:spacing w:before="80" w:after="60"/>
        <w:ind w:left="220"/>
      </w:pPr>
      <w:r>
        <w:rPr>
          <w:b/>
          <w:bCs/>
          <w:color w:val="1E3A5F"/>
          <w:sz w:val="20"/>
          <w:szCs w:val="20"/>
        </w:rPr>
        <w:t xml:space="preserve">Figura 6.5. </w:t>
      </w:r>
      <w:r>
        <w:rPr>
          <w:i/>
          <w:iCs/>
          <w:sz w:val="20"/>
          <w:szCs w:val="20"/>
        </w:rPr>
        <w:t>Matrices de transición Markoviana de los PAC States en las tres escalas. La intensidad del color representa la probabilidad de transición del estado fila al estado columna. Los atractores del sistema (S1, M0, L3) presentan alta probabilidad de auto-transición. Los estados patológicos (S6, M1, L0) muestran probabilidades de salida reducidas, consistentes con la baja resiliencia observada en §6.5.</w:t>
      </w:r>
    </w:p>
    <w:p w14:paraId="5BADEAEA" w14:textId="77777777" w:rsidR="001C68D0" w:rsidRDefault="00000000">
      <w:pPr>
        <w:spacing w:after="220"/>
        <w:ind w:left="220"/>
      </w:pPr>
      <w:r>
        <w:rPr>
          <w:i/>
          <w:iCs/>
          <w:color w:val="444444"/>
          <w:sz w:val="18"/>
          <w:szCs w:val="18"/>
        </w:rPr>
        <w:t>Nota. Origen: NB05, Sección 5. Transiciones: S = 462.519; M = 45.900; L = 7.196. Cadenas Markov de primer orden, 12 pacientes.</w:t>
      </w:r>
    </w:p>
    <w:p w14:paraId="3A19F53D" w14:textId="77777777" w:rsidR="001C68D0" w:rsidRDefault="00000000">
      <w:pPr>
        <w:pStyle w:val="Ttulo2"/>
      </w:pPr>
      <w:r>
        <w:lastRenderedPageBreak/>
        <w:t>6.7  Trayectorias nocturnas: fenotipos dinámicos globales  (NB05, Sección 6)</w:t>
      </w:r>
    </w:p>
    <w:p w14:paraId="10E20406" w14:textId="77777777" w:rsidR="001C68D0" w:rsidRDefault="00000000">
      <w:pPr>
        <w:spacing w:after="140" w:line="280" w:lineRule="auto"/>
        <w:jc w:val="both"/>
      </w:pPr>
      <w:r>
        <w:t>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(513 noches con todas las features disponibles) se aplicó PCA seguido de K-means (K = 3).</w:t>
      </w:r>
    </w:p>
    <w:p w14:paraId="49C10C02" w14:textId="77777777" w:rsidR="001C68D0" w:rsidRDefault="00000000">
      <w:pPr>
        <w:spacing w:after="140" w:line="280" w:lineRule="auto"/>
        <w:jc w:val="both"/>
      </w:pPr>
      <w:r>
        <w:t>El PCA identificó dos ejes principales que explican el 57,2 % de la varianza combinada (PC1 = 33,6 %; PC2 = 23,6 %). Los tres fenotipos resultantes son: Estable-Protector (fracción M1 = 2,8 %; eventos severos = 3,1 %; ARI = 0,522), Carga Intermedia (mayor entropía = 1,933; mayor número de transiciones ≈42; ARI = 0,493; eventos severos = 5,0 %) y Carga Hipóxica Alta (M1 = 78,1 %; eventos severos = 36,1 %; ARI = 0,284; ≈6 transiciones). La Tabla 6.5 presenta el perfil completo.</w:t>
      </w:r>
    </w:p>
    <w:p w14:paraId="0DF67A8D" w14:textId="77777777" w:rsidR="001C68D0"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942"/>
        <w:gridCol w:w="942"/>
        <w:gridCol w:w="1096"/>
        <w:gridCol w:w="1022"/>
        <w:gridCol w:w="1140"/>
        <w:gridCol w:w="1549"/>
      </w:tblGrid>
      <w:tr w:rsidR="001C68D0" w14:paraId="7F73049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3C83430" w14:textId="77777777" w:rsidR="001C68D0" w:rsidRDefault="00000000">
            <w:r>
              <w:rPr>
                <w:b/>
                <w:bCs/>
                <w:color w:val="FFFFFF"/>
                <w:sz w:val="19"/>
                <w:szCs w:val="19"/>
              </w:rPr>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86DB6B" w14:textId="77777777" w:rsidR="001C68D0"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A9C8ABD" w14:textId="77777777" w:rsidR="001C68D0"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28339AC" w14:textId="77777777" w:rsidR="001C68D0"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F483A20" w14:textId="77777777" w:rsidR="001C68D0"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EAB1C5" w14:textId="77777777" w:rsidR="001C68D0"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B2ABBB" w14:textId="77777777" w:rsidR="001C68D0" w:rsidRDefault="00000000">
            <w:r>
              <w:rPr>
                <w:b/>
                <w:bCs/>
                <w:color w:val="FFFFFF"/>
                <w:sz w:val="19"/>
                <w:szCs w:val="19"/>
              </w:rPr>
              <w:t>Entropía M</w:t>
            </w:r>
          </w:p>
        </w:tc>
      </w:tr>
      <w:tr w:rsidR="001C68D0" w14:paraId="5DDE56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4F983" w14:textId="77777777" w:rsidR="001C68D0"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507CE" w14:textId="77777777" w:rsidR="001C68D0" w:rsidRDefault="00000000">
            <w:r>
              <w:rPr>
                <w:sz w:val="19"/>
                <w:szCs w:val="19"/>
              </w:rPr>
              <w:t>2,8 %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9555B" w14:textId="77777777" w:rsidR="001C68D0"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C7700" w14:textId="77777777" w:rsidR="001C68D0"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E06E7" w14:textId="77777777" w:rsidR="001C68D0" w:rsidRDefault="00000000">
            <w:r>
              <w:rPr>
                <w:sz w:val="19"/>
                <w:szCs w:val="19"/>
              </w:rPr>
              <w:t>0,522</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BA5D5" w14:textId="77777777" w:rsidR="001C68D0" w:rsidRDefault="00000000">
            <w:r>
              <w:rPr>
                <w:sz w:val="19"/>
                <w:szCs w:val="19"/>
              </w:rPr>
              <w:t>baja</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5B505" w14:textId="77777777" w:rsidR="001C68D0" w:rsidRDefault="00000000">
            <w:r>
              <w:rPr>
                <w:sz w:val="19"/>
                <w:szCs w:val="19"/>
              </w:rPr>
              <w:t>baja</w:t>
            </w:r>
          </w:p>
        </w:tc>
      </w:tr>
      <w:tr w:rsidR="001C68D0" w14:paraId="21A4C6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5995898" w14:textId="77777777" w:rsidR="001C68D0"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6E88773" w14:textId="77777777" w:rsidR="001C68D0" w:rsidRDefault="00000000">
            <w:r>
              <w:rPr>
                <w:sz w:val="19"/>
                <w:szCs w:val="19"/>
              </w:rPr>
              <w:t>—</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1A12484" w14:textId="77777777" w:rsidR="001C68D0"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E029859" w14:textId="77777777" w:rsidR="001C68D0" w:rsidRDefault="00000000">
            <w:r>
              <w:rPr>
                <w:sz w:val="19"/>
                <w:szCs w:val="19"/>
              </w:rPr>
              <w:t>5,0 %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9B513F" w14:textId="77777777" w:rsidR="001C68D0" w:rsidRDefault="00000000">
            <w:r>
              <w:rPr>
                <w:sz w:val="19"/>
                <w:szCs w:val="19"/>
              </w:rPr>
              <w:t>0,493</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88993B" w14:textId="77777777" w:rsidR="001C68D0" w:rsidRDefault="00000000">
            <w:r>
              <w:rPr>
                <w:sz w:val="19"/>
                <w:szCs w:val="19"/>
              </w:rPr>
              <w:t>alta (≈42)</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B40E2" w14:textId="77777777" w:rsidR="001C68D0" w:rsidRDefault="00000000">
            <w:r>
              <w:rPr>
                <w:sz w:val="19"/>
                <w:szCs w:val="19"/>
              </w:rPr>
              <w:t>1,933</w:t>
            </w:r>
          </w:p>
        </w:tc>
      </w:tr>
      <w:tr w:rsidR="001C68D0" w14:paraId="334EFE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C9FB5" w14:textId="77777777" w:rsidR="001C68D0"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7BC5F" w14:textId="77777777" w:rsidR="001C68D0"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24548" w14:textId="77777777" w:rsidR="001C68D0" w:rsidRDefault="00000000">
            <w:r>
              <w:rPr>
                <w:sz w:val="19"/>
                <w:szCs w:val="19"/>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89A8B" w14:textId="77777777" w:rsidR="001C68D0" w:rsidRDefault="00000000">
            <w:r>
              <w:rPr>
                <w:sz w:val="19"/>
                <w:szCs w:val="19"/>
              </w:rPr>
              <w:t>36,1 %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DC576" w14:textId="77777777" w:rsidR="001C68D0"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D24E0" w14:textId="77777777" w:rsidR="001C68D0" w:rsidRDefault="00000000">
            <w:r>
              <w:rPr>
                <w:sz w:val="19"/>
                <w:szCs w:val="19"/>
              </w:rPr>
              <w:t>muy baja (≈6)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C5327" w14:textId="77777777" w:rsidR="001C68D0" w:rsidRDefault="00000000">
            <w:r>
              <w:rPr>
                <w:sz w:val="19"/>
                <w:szCs w:val="19"/>
              </w:rPr>
              <w:t>baja</w:t>
            </w:r>
          </w:p>
        </w:tc>
      </w:tr>
    </w:tbl>
    <w:p w14:paraId="788DD258" w14:textId="77777777" w:rsidR="001C68D0" w:rsidRDefault="00000000">
      <w:pPr>
        <w:spacing w:after="220"/>
        <w:ind w:left="220"/>
      </w:pPr>
      <w:r>
        <w:rPr>
          <w:i/>
          <w:iCs/>
          <w:color w:val="444444"/>
          <w:sz w:val="18"/>
          <w:szCs w:val="18"/>
        </w:rPr>
        <w:t>Nota. K-means (K = 3) sobre PCA de 7 features nocturnas. n = 513 noches, 12 pacientes. Origen: NB05, Sección 6.</w:t>
      </w:r>
    </w:p>
    <w:p w14:paraId="73CB7872" w14:textId="77777777" w:rsidR="001C68D0" w:rsidRDefault="00000000">
      <w:pPr>
        <w:spacing w:before="120"/>
        <w:jc w:val="center"/>
      </w:pPr>
      <w:r>
        <w:rPr>
          <w:noProof/>
        </w:rPr>
        <w:drawing>
          <wp:inline distT="0" distB="0" distL="0" distR="0" wp14:anchorId="6B902DF7" wp14:editId="154041D0">
            <wp:extent cx="5238750" cy="2390775"/>
            <wp:effectExtent l="0" t="0" r="0" b="0"/>
            <wp:docPr id="46280939"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390775"/>
                    </a:xfrm>
                    <a:prstGeom prst="rect">
                      <a:avLst/>
                    </a:prstGeom>
                  </pic:spPr>
                </pic:pic>
              </a:graphicData>
            </a:graphic>
          </wp:inline>
        </w:drawing>
      </w:r>
    </w:p>
    <w:p w14:paraId="5FD89EA1" w14:textId="77777777" w:rsidR="001C68D0" w:rsidRDefault="00000000">
      <w:pPr>
        <w:spacing w:before="80" w:after="60"/>
        <w:ind w:left="220"/>
      </w:pPr>
      <w:r>
        <w:rPr>
          <w:b/>
          <w:bCs/>
          <w:color w:val="1E3A5F"/>
          <w:sz w:val="20"/>
          <w:szCs w:val="20"/>
        </w:rPr>
        <w:t xml:space="preserve">Figura 6.6. </w:t>
      </w:r>
      <w:r>
        <w:rPr>
          <w:i/>
          <w:iCs/>
          <w:sz w:val="20"/>
          <w:szCs w:val="20"/>
        </w:rPr>
        <w:t>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14:paraId="144A7203" w14:textId="77777777" w:rsidR="001C68D0" w:rsidRDefault="00000000">
      <w:pPr>
        <w:spacing w:after="220"/>
        <w:ind w:left="220"/>
      </w:pPr>
      <w:r>
        <w:rPr>
          <w:i/>
          <w:iCs/>
          <w:color w:val="444444"/>
          <w:sz w:val="18"/>
          <w:szCs w:val="18"/>
        </w:rPr>
        <w:t>Nota. Origen: NB05, Sección 6. n = 513 noches. El fenotipo Carga Hipóxica Alta aparece en el 4,4 % de las noches AASM Moderadas y en el 0 % de las Severas.</w:t>
      </w:r>
    </w:p>
    <w:p w14:paraId="0704A9AC" w14:textId="77777777" w:rsidR="001C68D0" w:rsidRDefault="00000000">
      <w:pPr>
        <w:spacing w:after="140" w:line="280" w:lineRule="auto"/>
        <w:jc w:val="both"/>
      </w:pPr>
      <w:r>
        <w:t xml:space="preserve">El hallazgo más significativo es la distribución del fenotipo Carga Hipóxica Alta en relación con la clasificación clínica AASM. Este fenotipo —el de mayor extremismo fisiológico, con </w:t>
      </w:r>
      <w:r>
        <w:lastRenderedPageBreak/>
        <w:t>ARI = 0,284 y dinámica colapsada— aparece exclusivamente en un subgrupo de pacientes con severidad AASM Moderada (4,4 % de las noches Moderadas), y está completamente ausente en los pacientes Severos. Este hallazgo debe interpretarse como evidencia exploratoria de discordancia entre severidad AASM y fenotipo PAC, no como una inversión definitiva de riesgo clínico. Una posible explicación es que los pacientes Severos conservan cierta reactividad autonómica residual que genera transiciones entre estados y evita que la noche colapse completamente en M1, mientras que el subgrupo Moderado en cuestión muestra un perfil de agotamiento autonómico que los índices de frecuencia no detectan.</w:t>
      </w:r>
    </w:p>
    <w:p w14:paraId="58EDD106" w14:textId="77777777" w:rsidR="001C68D0" w:rsidRDefault="00000000">
      <w:pPr>
        <w:pStyle w:val="Ttulo2"/>
      </w:pPr>
      <w:r>
        <w:t>6.8  Importancia predictiva de las features PAC: ablación LOPO-CV  (NB06)</w:t>
      </w:r>
    </w:p>
    <w:p w14:paraId="3678AD18" w14:textId="77777777" w:rsidR="001C68D0"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4E954A5C" w14:textId="77777777" w:rsidR="001C68D0" w:rsidRDefault="00000000">
      <w:pPr>
        <w:spacing w:after="140" w:line="280" w:lineRule="auto"/>
        <w:jc w:val="both"/>
      </w:pPr>
      <w:r>
        <w:t>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14:paraId="505280B1" w14:textId="77777777" w:rsidR="001C68D0" w:rsidRDefault="00000000">
      <w:pPr>
        <w:spacing w:after="140" w:line="280" w:lineRule="auto"/>
        <w:jc w:val="both"/>
      </w:pPr>
      <w:r>
        <w:t>El hallazgo central es que los PAC States constituyen el grupo predictor dominante: 44,75 % del peso total, seguidos de morfotipos C1–C5 (20,2 %), dinámica PAC (14,7 %), variables clínicas (10,2 %), sueño (6,8 %) y ARI (3,4 %). Los PAC States fueron aprendidos de forma completamente no supervisada, sin utilizar etiquetas clínicas de severidad. La Tabla 6.6 presenta los valores por grupo y la Tabla 6.6b las diez features individuales de mayor importancia.</w:t>
      </w:r>
    </w:p>
    <w:p w14:paraId="081FD4E8" w14:textId="77777777" w:rsidR="001C68D0"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2100"/>
        <w:gridCol w:w="1566"/>
      </w:tblGrid>
      <w:tr w:rsidR="001C68D0" w14:paraId="5C05B25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8376A26" w14:textId="77777777" w:rsidR="001C68D0"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0F0118B" w14:textId="77777777" w:rsidR="001C68D0"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DDBDE3" w14:textId="77777777" w:rsidR="001C68D0"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9CA96BE" w14:textId="77777777" w:rsidR="001C68D0" w:rsidRDefault="00000000">
            <w:r>
              <w:rPr>
                <w:b/>
                <w:bCs/>
                <w:color w:val="FFFFFF"/>
                <w:sz w:val="19"/>
                <w:szCs w:val="19"/>
              </w:rPr>
              <w:t>% sobre total</w:t>
            </w:r>
          </w:p>
        </w:tc>
      </w:tr>
      <w:tr w:rsidR="001C68D0" w14:paraId="4CC23E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89497" w14:textId="77777777" w:rsidR="001C68D0"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959E5" w14:textId="77777777" w:rsidR="001C68D0"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A7563" w14:textId="77777777" w:rsidR="001C68D0"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656F1" w14:textId="77777777" w:rsidR="001C68D0" w:rsidRDefault="00000000">
            <w:r>
              <w:rPr>
                <w:sz w:val="19"/>
                <w:szCs w:val="19"/>
              </w:rPr>
              <w:t>44,8 %</w:t>
            </w:r>
          </w:p>
        </w:tc>
      </w:tr>
      <w:tr w:rsidR="001C68D0" w14:paraId="4BDD3A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2EB7EF6" w14:textId="77777777" w:rsidR="001C68D0"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F7296D5" w14:textId="77777777" w:rsidR="001C68D0"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A113FB2" w14:textId="77777777" w:rsidR="001C68D0"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C57318" w14:textId="77777777" w:rsidR="001C68D0" w:rsidRDefault="00000000">
            <w:r>
              <w:rPr>
                <w:sz w:val="19"/>
                <w:szCs w:val="19"/>
              </w:rPr>
              <w:t>20,2 %</w:t>
            </w:r>
          </w:p>
        </w:tc>
      </w:tr>
      <w:tr w:rsidR="001C68D0" w14:paraId="5EF175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C922B" w14:textId="77777777" w:rsidR="001C68D0"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02D13" w14:textId="77777777" w:rsidR="001C68D0"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E0740" w14:textId="77777777" w:rsidR="001C68D0"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8DCF4" w14:textId="77777777" w:rsidR="001C68D0" w:rsidRDefault="00000000">
            <w:r>
              <w:rPr>
                <w:sz w:val="19"/>
                <w:szCs w:val="19"/>
              </w:rPr>
              <w:t>14,7 %</w:t>
            </w:r>
          </w:p>
        </w:tc>
      </w:tr>
      <w:tr w:rsidR="001C68D0" w14:paraId="105B0A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3F9852" w14:textId="77777777" w:rsidR="001C68D0"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2C383DD" w14:textId="77777777" w:rsidR="001C68D0"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1A69BB7" w14:textId="77777777" w:rsidR="001C68D0"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FB07A92" w14:textId="77777777" w:rsidR="001C68D0" w:rsidRDefault="00000000">
            <w:r>
              <w:rPr>
                <w:sz w:val="19"/>
                <w:szCs w:val="19"/>
              </w:rPr>
              <w:t>10,2 %</w:t>
            </w:r>
          </w:p>
        </w:tc>
      </w:tr>
      <w:tr w:rsidR="001C68D0" w14:paraId="450E46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A94B" w14:textId="77777777" w:rsidR="001C68D0"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25DD0" w14:textId="77777777" w:rsidR="001C68D0"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5DDEA" w14:textId="77777777" w:rsidR="001C68D0"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F1C51" w14:textId="77777777" w:rsidR="001C68D0" w:rsidRDefault="00000000">
            <w:r>
              <w:rPr>
                <w:sz w:val="19"/>
                <w:szCs w:val="19"/>
              </w:rPr>
              <w:t xml:space="preserve"> 6,8 %</w:t>
            </w:r>
          </w:p>
        </w:tc>
      </w:tr>
      <w:tr w:rsidR="001C68D0" w14:paraId="63CB97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FA49595" w14:textId="77777777" w:rsidR="001C68D0" w:rsidRDefault="00000000">
            <w:r>
              <w:rPr>
                <w:sz w:val="19"/>
                <w:szCs w:val="19"/>
              </w:rPr>
              <w:lastRenderedPageBreak/>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80B672B" w14:textId="77777777" w:rsidR="001C68D0"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881C7FE" w14:textId="77777777" w:rsidR="001C68D0"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5E2405A" w14:textId="77777777" w:rsidR="001C68D0" w:rsidRDefault="00000000">
            <w:r>
              <w:rPr>
                <w:sz w:val="19"/>
                <w:szCs w:val="19"/>
              </w:rPr>
              <w:t xml:space="preserve"> 3,4 %</w:t>
            </w:r>
          </w:p>
        </w:tc>
      </w:tr>
    </w:tbl>
    <w:p w14:paraId="148BB53F" w14:textId="77777777" w:rsidR="001C68D0" w:rsidRDefault="00000000">
      <w:pPr>
        <w:spacing w:after="220"/>
        <w:ind w:left="220"/>
      </w:pPr>
      <w:r>
        <w:rPr>
          <w:i/>
          <w:iCs/>
          <w:color w:val="444444"/>
          <w:sz w:val="18"/>
          <w:szCs w:val="18"/>
        </w:rPr>
        <w:t>Nota. Importancia Gini promediada sobre 8 folds LOPO-CV. 540 noches, 8 pacientes. Origen: NB06.</w:t>
      </w:r>
    </w:p>
    <w:p w14:paraId="4EB4EB95" w14:textId="77777777" w:rsidR="001C68D0" w:rsidRDefault="00000000">
      <w:pPr>
        <w:spacing w:before="280" w:after="80"/>
      </w:pPr>
      <w:r>
        <w:rPr>
          <w:b/>
          <w:bCs/>
          <w:color w:val="1E3A5F"/>
          <w:sz w:val="20"/>
          <w:szCs w:val="20"/>
        </w:rPr>
        <w:t>Tabla 6.6b. Top-10 features individuales por importancia Gini (NB06).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2"/>
        <w:gridCol w:w="2036"/>
        <w:gridCol w:w="1449"/>
        <w:gridCol w:w="847"/>
        <w:gridCol w:w="3502"/>
      </w:tblGrid>
      <w:tr w:rsidR="001C68D0" w14:paraId="02E44B27"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DBE87BA" w14:textId="77777777" w:rsidR="001C68D0" w:rsidRDefault="00000000">
            <w:r>
              <w:rPr>
                <w:b/>
                <w:bCs/>
                <w:color w:val="FFFFFF"/>
                <w:sz w:val="19"/>
                <w:szCs w:val="19"/>
              </w:rPr>
              <w:t>Rango</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69A0D1" w14:textId="77777777" w:rsidR="001C68D0" w:rsidRDefault="00000000">
            <w:r>
              <w:rPr>
                <w:b/>
                <w:bCs/>
                <w:color w:val="FFFFFF"/>
                <w:sz w:val="19"/>
                <w:szCs w:val="19"/>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C4B5F3F" w14:textId="77777777" w:rsidR="001C68D0" w:rsidRDefault="00000000">
            <w:r>
              <w:rPr>
                <w:b/>
                <w:bCs/>
                <w:color w:val="FFFFFF"/>
                <w:sz w:val="19"/>
                <w:szCs w:val="19"/>
              </w:rPr>
              <w:t>Grupo</w:t>
            </w:r>
          </w:p>
        </w:tc>
        <w:tc>
          <w:tcPr>
            <w:tcW w:w="8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91CE40" w14:textId="77777777" w:rsidR="001C68D0" w:rsidRDefault="00000000">
            <w:r>
              <w:rPr>
                <w:b/>
                <w:bCs/>
                <w:color w:val="FFFFFF"/>
                <w:sz w:val="19"/>
                <w:szCs w:val="19"/>
              </w:rPr>
              <w:t>Gini</w:t>
            </w:r>
          </w:p>
        </w:tc>
        <w:tc>
          <w:tcPr>
            <w:tcW w:w="38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24957" w14:textId="77777777" w:rsidR="001C68D0" w:rsidRDefault="00000000">
            <w:r>
              <w:rPr>
                <w:b/>
                <w:bCs/>
                <w:color w:val="FFFFFF"/>
                <w:sz w:val="19"/>
                <w:szCs w:val="19"/>
              </w:rPr>
              <w:t>Interpretación</w:t>
            </w:r>
          </w:p>
        </w:tc>
      </w:tr>
      <w:tr w:rsidR="001C68D0" w14:paraId="22469B8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3C1A8" w14:textId="77777777" w:rsidR="001C68D0" w:rsidRDefault="00000000">
            <w:r>
              <w:rPr>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8FD22" w14:textId="77777777" w:rsidR="001C68D0" w:rsidRDefault="00000000">
            <w:r>
              <w:rPr>
                <w:sz w:val="19"/>
                <w:szCs w:val="19"/>
              </w:rPr>
              <w:t>frac_state_s_S3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3ED8A" w14:textId="77777777" w:rsidR="001C68D0"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C9CC7" w14:textId="77777777" w:rsidR="001C68D0" w:rsidRDefault="00000000">
            <w:r>
              <w:rPr>
                <w:sz w:val="19"/>
                <w:szCs w:val="19"/>
              </w:rPr>
              <w:t>0,0860</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7495F" w14:textId="77777777" w:rsidR="001C68D0" w:rsidRDefault="00000000">
            <w:r>
              <w:rPr>
                <w:sz w:val="19"/>
                <w:szCs w:val="19"/>
              </w:rPr>
              <w:t>Fracción en estado S protector</w:t>
            </w:r>
          </w:p>
        </w:tc>
      </w:tr>
      <w:tr w:rsidR="001C68D0" w14:paraId="46DFB43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9C85D1D" w14:textId="77777777" w:rsidR="001C68D0" w:rsidRDefault="00000000">
            <w:r>
              <w:rPr>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A8CC51" w14:textId="77777777" w:rsidR="001C68D0" w:rsidRDefault="00000000">
            <w:r>
              <w:rPr>
                <w:sz w:val="19"/>
                <w:szCs w:val="19"/>
              </w:rPr>
              <w:t>n_transitions_state_s</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B334C3" w14:textId="77777777" w:rsidR="001C68D0" w:rsidRDefault="00000000">
            <w:r>
              <w:rPr>
                <w:sz w:val="19"/>
                <w:szCs w:val="19"/>
              </w:rPr>
              <w:t>PAC Dynamics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9FC07EA" w14:textId="77777777" w:rsidR="001C68D0" w:rsidRDefault="00000000">
            <w:r>
              <w:rPr>
                <w:sz w:val="19"/>
                <w:szCs w:val="19"/>
              </w:rPr>
              <w:t>0,0739</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86536" w14:textId="77777777" w:rsidR="001C68D0" w:rsidRDefault="00000000">
            <w:r>
              <w:rPr>
                <w:sz w:val="19"/>
                <w:szCs w:val="19"/>
              </w:rPr>
              <w:t>Dinamismo microdinámica S</w:t>
            </w:r>
          </w:p>
        </w:tc>
      </w:tr>
      <w:tr w:rsidR="001C68D0" w14:paraId="60A7DA4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17587" w14:textId="77777777" w:rsidR="001C68D0" w:rsidRDefault="00000000">
            <w:r>
              <w:rPr>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683D3" w14:textId="77777777" w:rsidR="001C68D0" w:rsidRDefault="00000000">
            <w:r>
              <w:rPr>
                <w:sz w:val="19"/>
                <w:szCs w:val="19"/>
              </w:rPr>
              <w:t>bmi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C0FF0" w14:textId="77777777" w:rsidR="001C68D0" w:rsidRDefault="00000000">
            <w:r>
              <w:rPr>
                <w:sz w:val="19"/>
                <w:szCs w:val="19"/>
              </w:rPr>
              <w:t>Clínico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C65AC" w14:textId="77777777" w:rsidR="001C68D0" w:rsidRDefault="00000000">
            <w:r>
              <w:rPr>
                <w:sz w:val="19"/>
                <w:szCs w:val="19"/>
              </w:rPr>
              <w:t>0,0731</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53825" w14:textId="77777777" w:rsidR="001C68D0" w:rsidRDefault="00000000">
            <w:r>
              <w:rPr>
                <w:sz w:val="19"/>
                <w:szCs w:val="19"/>
              </w:rPr>
              <w:t>IMC del paciente</w:t>
            </w:r>
          </w:p>
        </w:tc>
      </w:tr>
      <w:tr w:rsidR="001C68D0" w14:paraId="2CC5800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6DB2C8" w14:textId="77777777" w:rsidR="001C68D0" w:rsidRDefault="00000000">
            <w:r>
              <w:rPr>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706617" w14:textId="77777777" w:rsidR="001C68D0" w:rsidRDefault="00000000">
            <w:r>
              <w:rPr>
                <w:sz w:val="19"/>
                <w:szCs w:val="19"/>
              </w:rPr>
              <w:t>frac_c2</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4096C7B" w14:textId="77777777" w:rsidR="001C68D0"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36248" w14:textId="77777777" w:rsidR="001C68D0" w:rsidRDefault="00000000">
            <w:r>
              <w:rPr>
                <w:sz w:val="19"/>
                <w:szCs w:val="19"/>
              </w:rPr>
              <w:t>0,0668</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2E3574" w14:textId="77777777" w:rsidR="001C68D0" w:rsidRDefault="00000000">
            <w:r>
              <w:rPr>
                <w:sz w:val="19"/>
                <w:szCs w:val="19"/>
              </w:rPr>
              <w:t>Fracción morfotipo benigno C2</w:t>
            </w:r>
          </w:p>
        </w:tc>
      </w:tr>
      <w:tr w:rsidR="001C68D0" w14:paraId="2961F3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E558E" w14:textId="77777777" w:rsidR="001C68D0" w:rsidRDefault="00000000">
            <w:r>
              <w:rPr>
                <w:sz w:val="19"/>
                <w:szCs w:val="19"/>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4F278" w14:textId="77777777" w:rsidR="001C68D0" w:rsidRDefault="00000000">
            <w:r>
              <w:rPr>
                <w:sz w:val="19"/>
                <w:szCs w:val="19"/>
              </w:rPr>
              <w:t>frac_c1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69CD1" w14:textId="77777777" w:rsidR="001C68D0"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AD2BE" w14:textId="77777777" w:rsidR="001C68D0" w:rsidRDefault="00000000">
            <w:r>
              <w:rPr>
                <w:sz w:val="19"/>
                <w:szCs w:val="19"/>
              </w:rPr>
              <w:t>0,0664</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3B48B" w14:textId="77777777" w:rsidR="001C68D0" w:rsidRDefault="00000000">
            <w:r>
              <w:rPr>
                <w:sz w:val="19"/>
                <w:szCs w:val="19"/>
              </w:rPr>
              <w:t>Fracción morfotipo benigno C1</w:t>
            </w:r>
          </w:p>
        </w:tc>
      </w:tr>
      <w:tr w:rsidR="001C68D0" w14:paraId="65741C2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DB794D8" w14:textId="77777777" w:rsidR="001C68D0" w:rsidRDefault="00000000">
            <w:r>
              <w:rPr>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6D5F3FD" w14:textId="77777777" w:rsidR="001C68D0" w:rsidRDefault="00000000">
            <w:r>
              <w:rPr>
                <w:sz w:val="19"/>
                <w:szCs w:val="19"/>
              </w:rPr>
              <w:t>frac_state_l_L3</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8FE22BB" w14:textId="77777777" w:rsidR="001C68D0"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87101D" w14:textId="77777777" w:rsidR="001C68D0" w:rsidRDefault="00000000">
            <w:r>
              <w:rPr>
                <w:sz w:val="19"/>
                <w:szCs w:val="19"/>
              </w:rPr>
              <w:t>~0,060</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081FA83" w14:textId="77777777" w:rsidR="001C68D0" w:rsidRDefault="00000000">
            <w:r>
              <w:rPr>
                <w:sz w:val="19"/>
                <w:szCs w:val="19"/>
              </w:rPr>
              <w:t>Fracción en estado L protector</w:t>
            </w:r>
          </w:p>
        </w:tc>
      </w:tr>
      <w:tr w:rsidR="001C68D0" w14:paraId="19E8125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7DBBB" w14:textId="77777777" w:rsidR="001C68D0" w:rsidRDefault="00000000">
            <w:r>
              <w:rPr>
                <w:sz w:val="19"/>
                <w:szCs w:val="19"/>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5622F" w14:textId="77777777" w:rsidR="001C68D0" w:rsidRDefault="00000000">
            <w:r>
              <w:rPr>
                <w:sz w:val="19"/>
                <w:szCs w:val="19"/>
              </w:rPr>
              <w:t>frac_state_l_L0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48954" w14:textId="77777777" w:rsidR="001C68D0"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536B3" w14:textId="77777777" w:rsidR="001C68D0" w:rsidRDefault="00000000">
            <w:r>
              <w:rPr>
                <w:sz w:val="19"/>
                <w:szCs w:val="19"/>
              </w:rPr>
              <w:t>~0,059</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07367" w14:textId="77777777" w:rsidR="001C68D0" w:rsidRDefault="00000000">
            <w:r>
              <w:rPr>
                <w:sz w:val="19"/>
                <w:szCs w:val="19"/>
              </w:rPr>
              <w:t>Fracción en estado L patológico</w:t>
            </w:r>
          </w:p>
        </w:tc>
      </w:tr>
      <w:tr w:rsidR="001C68D0" w14:paraId="32D6DCF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150206" w14:textId="77777777" w:rsidR="001C68D0" w:rsidRDefault="00000000">
            <w:r>
              <w:rPr>
                <w:sz w:val="19"/>
                <w:szCs w:val="19"/>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FB9FA1" w14:textId="77777777" w:rsidR="001C68D0" w:rsidRDefault="00000000">
            <w:r>
              <w:rPr>
                <w:sz w:val="19"/>
                <w:szCs w:val="19"/>
              </w:rPr>
              <w:t>frac_state_m_M1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F27E2A3" w14:textId="77777777" w:rsidR="001C68D0"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2E90DC" w14:textId="77777777" w:rsidR="001C68D0" w:rsidRDefault="00000000">
            <w:r>
              <w:rPr>
                <w:sz w:val="19"/>
                <w:szCs w:val="19"/>
              </w:rPr>
              <w:t>~0,054</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781552" w14:textId="77777777" w:rsidR="001C68D0" w:rsidRDefault="00000000">
            <w:r>
              <w:rPr>
                <w:sz w:val="19"/>
                <w:szCs w:val="19"/>
              </w:rPr>
              <w:t>Fracción en estado M patológico</w:t>
            </w:r>
          </w:p>
        </w:tc>
      </w:tr>
      <w:tr w:rsidR="001C68D0" w14:paraId="578BFE3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85C20" w14:textId="77777777" w:rsidR="001C68D0" w:rsidRDefault="00000000">
            <w:r>
              <w:rPr>
                <w:sz w:val="19"/>
                <w:szCs w:val="19"/>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33AC0" w14:textId="77777777" w:rsidR="001C68D0" w:rsidRDefault="00000000">
            <w:r>
              <w:rPr>
                <w:sz w:val="19"/>
                <w:szCs w:val="19"/>
              </w:rPr>
              <w:t>waso_s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1ACA4" w14:textId="77777777" w:rsidR="001C68D0" w:rsidRDefault="00000000">
            <w:r>
              <w:rPr>
                <w:sz w:val="19"/>
                <w:szCs w:val="19"/>
              </w:rPr>
              <w:t>Sueño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9080F" w14:textId="77777777" w:rsidR="001C68D0" w:rsidRDefault="00000000">
            <w:r>
              <w:rPr>
                <w:sz w:val="19"/>
                <w:szCs w:val="19"/>
              </w:rPr>
              <w:t>~0,053</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72AA7" w14:textId="77777777" w:rsidR="001C68D0" w:rsidRDefault="00000000">
            <w:r>
              <w:rPr>
                <w:sz w:val="19"/>
                <w:szCs w:val="19"/>
              </w:rPr>
              <w:t>Tiempo de vigilia tras inicio de sueño</w:t>
            </w:r>
          </w:p>
        </w:tc>
      </w:tr>
      <w:tr w:rsidR="001C68D0" w14:paraId="66DABC2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5657E" w14:textId="77777777" w:rsidR="001C68D0" w:rsidRDefault="00000000">
            <w:r>
              <w:rPr>
                <w:sz w:val="19"/>
                <w:szCs w:val="19"/>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336BDD" w14:textId="77777777" w:rsidR="001C68D0" w:rsidRDefault="00000000">
            <w:r>
              <w:rPr>
                <w:sz w:val="19"/>
                <w:szCs w:val="19"/>
              </w:rPr>
              <w:t>frac_state_m_M0</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3BDD600" w14:textId="77777777" w:rsidR="001C68D0"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4C79A3D" w14:textId="77777777" w:rsidR="001C68D0" w:rsidRDefault="00000000">
            <w:r>
              <w:rPr>
                <w:sz w:val="19"/>
                <w:szCs w:val="19"/>
              </w:rPr>
              <w:t>~0,052</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874E0A3" w14:textId="77777777" w:rsidR="001C68D0" w:rsidRDefault="00000000">
            <w:r>
              <w:rPr>
                <w:sz w:val="19"/>
                <w:szCs w:val="19"/>
              </w:rPr>
              <w:t>Fracción en estado M protector</w:t>
            </w:r>
          </w:p>
        </w:tc>
      </w:tr>
    </w:tbl>
    <w:p w14:paraId="70723149" w14:textId="77777777" w:rsidR="001C68D0" w:rsidRDefault="00000000">
      <w:pPr>
        <w:spacing w:after="220"/>
        <w:ind w:left="220"/>
      </w:pPr>
      <w:r>
        <w:rPr>
          <w:i/>
          <w:iCs/>
          <w:color w:val="444444"/>
          <w:sz w:val="18"/>
          <w:szCs w:val="18"/>
        </w:rPr>
        <w:t>Nota. Gini promediado sobre 8 folds LOPO-CV. Rangos 6–10 aproximados desde figura 06_feature_importance_gini.png. Origen: NB06.</w:t>
      </w:r>
    </w:p>
    <w:p w14:paraId="67D9B208" w14:textId="77777777" w:rsidR="001C68D0" w:rsidRDefault="00000000">
      <w:pPr>
        <w:spacing w:before="120"/>
        <w:jc w:val="center"/>
      </w:pPr>
      <w:r>
        <w:rPr>
          <w:noProof/>
        </w:rPr>
        <w:drawing>
          <wp:inline distT="0" distB="0" distL="0" distR="0" wp14:anchorId="5D297D63" wp14:editId="1BBC1AFB">
            <wp:extent cx="5238750" cy="4181475"/>
            <wp:effectExtent l="0" t="0" r="0" b="0"/>
            <wp:docPr id="841386569"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4181475"/>
                    </a:xfrm>
                    <a:prstGeom prst="rect">
                      <a:avLst/>
                    </a:prstGeom>
                  </pic:spPr>
                </pic:pic>
              </a:graphicData>
            </a:graphic>
          </wp:inline>
        </w:drawing>
      </w:r>
    </w:p>
    <w:p w14:paraId="258FC821" w14:textId="77777777" w:rsidR="001C68D0" w:rsidRDefault="00000000">
      <w:pPr>
        <w:spacing w:before="80" w:after="60"/>
        <w:ind w:left="220"/>
      </w:pPr>
      <w:r>
        <w:rPr>
          <w:b/>
          <w:bCs/>
          <w:color w:val="1E3A5F"/>
          <w:sz w:val="20"/>
          <w:szCs w:val="20"/>
        </w:rPr>
        <w:t xml:space="preserve">Figura 6.7. </w:t>
      </w:r>
      <w:r>
        <w:rPr>
          <w:i/>
          <w:iCs/>
          <w:sz w:val="20"/>
          <w:szCs w:val="20"/>
        </w:rPr>
        <w:t xml:space="preserve">Top-25 features por importancia Gini (Random Forest, LOPO-CV, NB06). Las barras están coloreadas por grupo. Los PAC States dominan el ranking; la variable más </w:t>
      </w:r>
      <w:r>
        <w:rPr>
          <w:i/>
          <w:iCs/>
          <w:sz w:val="20"/>
          <w:szCs w:val="20"/>
        </w:rPr>
        <w:lastRenderedPageBreak/>
        <w:t>importante es frac_state_s_S3 (Gini = 0,0860). El ARI queda en las posiciones más bajas, consistente con su ortogonalidad respecto a la severidad hipóxica.</w:t>
      </w:r>
    </w:p>
    <w:p w14:paraId="17FD710F" w14:textId="77777777" w:rsidR="001C68D0" w:rsidRDefault="00000000">
      <w:pPr>
        <w:spacing w:after="220"/>
        <w:ind w:left="220"/>
      </w:pPr>
      <w:r>
        <w:rPr>
          <w:i/>
          <w:iCs/>
          <w:color w:val="444444"/>
          <w:sz w:val="18"/>
          <w:szCs w:val="18"/>
        </w:rPr>
        <w:t>Nota. Origen: NB06. n = 540 noches, 8 pacientes. Barras = media ± SD sobre los 8 folds LOPO-CV.</w:t>
      </w:r>
    </w:p>
    <w:p w14:paraId="70E70278" w14:textId="77777777" w:rsidR="001C68D0" w:rsidRDefault="00000000">
      <w:pPr>
        <w:spacing w:before="120"/>
        <w:jc w:val="center"/>
      </w:pPr>
      <w:r>
        <w:rPr>
          <w:noProof/>
        </w:rPr>
        <w:drawing>
          <wp:inline distT="0" distB="0" distL="0" distR="0" wp14:anchorId="1A63C4C3" wp14:editId="00801B73">
            <wp:extent cx="5238750" cy="1990725"/>
            <wp:effectExtent l="0" t="0" r="0" b="0"/>
            <wp:docPr id="1332857015"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1990725"/>
                    </a:xfrm>
                    <a:prstGeom prst="rect">
                      <a:avLst/>
                    </a:prstGeom>
                  </pic:spPr>
                </pic:pic>
              </a:graphicData>
            </a:graphic>
          </wp:inline>
        </w:drawing>
      </w:r>
    </w:p>
    <w:p w14:paraId="6956B45F" w14:textId="77777777" w:rsidR="001C68D0" w:rsidRDefault="00000000">
      <w:pPr>
        <w:spacing w:before="80" w:after="60"/>
        <w:ind w:left="220"/>
      </w:pPr>
      <w:r>
        <w:rPr>
          <w:b/>
          <w:bCs/>
          <w:color w:val="1E3A5F"/>
          <w:sz w:val="20"/>
          <w:szCs w:val="20"/>
        </w:rPr>
        <w:t xml:space="preserve">Figura 6.8.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3E52873D" w14:textId="77777777" w:rsidR="001C68D0" w:rsidRDefault="00000000">
      <w:pPr>
        <w:spacing w:after="220"/>
        <w:ind w:left="220"/>
      </w:pPr>
      <w:r>
        <w:rPr>
          <w:i/>
          <w:iCs/>
          <w:color w:val="444444"/>
          <w:sz w:val="18"/>
          <w:szCs w:val="18"/>
        </w:rPr>
        <w:t>Nota. Origen: NB06. Barras = media ± SD sobre 8 folds LOPO-CV. "PAC only" incluye PAC States + PAC Dynamics.</w:t>
      </w:r>
    </w:p>
    <w:p w14:paraId="7F1B0A1F" w14:textId="77777777" w:rsidR="001C68D0"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4B6034BB" w14:textId="77777777" w:rsidR="001C68D0" w:rsidRDefault="00000000">
      <w:pPr>
        <w:pStyle w:val="Ttulo2"/>
      </w:pPr>
      <w:r>
        <w:t>6.9  Modelo predictivo a nivel de evento  (NB07, Bloque B)</w:t>
      </w:r>
    </w:p>
    <w:p w14:paraId="44D3D24F" w14:textId="77777777" w:rsidR="001C68D0"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0D37FB84" w14:textId="77777777" w:rsidR="001C68D0"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37B8B020" w14:textId="77777777" w:rsidR="001C68D0"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9"/>
        <w:gridCol w:w="997"/>
        <w:gridCol w:w="997"/>
        <w:gridCol w:w="1360"/>
        <w:gridCol w:w="1465"/>
        <w:gridCol w:w="998"/>
      </w:tblGrid>
      <w:tr w:rsidR="001C68D0" w14:paraId="0655709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34985CE" w14:textId="77777777" w:rsidR="001C68D0"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69F02EE" w14:textId="77777777" w:rsidR="001C68D0"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404F29" w14:textId="77777777" w:rsidR="001C68D0"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729A48C" w14:textId="77777777" w:rsidR="001C68D0"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39A61BB" w14:textId="77777777" w:rsidR="001C68D0"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A418B9" w14:textId="77777777" w:rsidR="001C68D0" w:rsidRDefault="00000000">
            <w:r>
              <w:rPr>
                <w:b/>
                <w:bCs/>
                <w:color w:val="FFFFFF"/>
                <w:sz w:val="19"/>
                <w:szCs w:val="19"/>
              </w:rPr>
              <w:t>Mejora AP</w:t>
            </w:r>
          </w:p>
        </w:tc>
      </w:tr>
      <w:tr w:rsidR="001C68D0" w14:paraId="08C573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CFC3E" w14:textId="77777777" w:rsidR="001C68D0"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59084" w14:textId="77777777" w:rsidR="001C68D0"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6086B" w14:textId="77777777" w:rsidR="001C68D0"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DE35D" w14:textId="77777777" w:rsidR="001C68D0"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82F3E" w14:textId="77777777" w:rsidR="001C68D0"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929CE" w14:textId="77777777" w:rsidR="001C68D0" w:rsidRDefault="00000000">
            <w:r>
              <w:rPr>
                <w:sz w:val="19"/>
                <w:szCs w:val="19"/>
              </w:rPr>
              <w:t>2,9×</w:t>
            </w:r>
          </w:p>
        </w:tc>
      </w:tr>
      <w:tr w:rsidR="001C68D0" w14:paraId="7D2394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9FACFB0" w14:textId="77777777" w:rsidR="001C68D0" w:rsidRDefault="00000000">
            <w:r>
              <w:rPr>
                <w:sz w:val="19"/>
                <w:szCs w:val="19"/>
              </w:rPr>
              <w:lastRenderedPageBreak/>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5FE43B7" w14:textId="77777777" w:rsidR="001C68D0"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678A6D6" w14:textId="77777777" w:rsidR="001C68D0"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DA5340A" w14:textId="77777777" w:rsidR="001C68D0"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CA245E" w14:textId="77777777" w:rsidR="001C68D0"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E227F5" w14:textId="77777777" w:rsidR="001C68D0" w:rsidRDefault="00000000">
            <w:r>
              <w:rPr>
                <w:sz w:val="19"/>
                <w:szCs w:val="19"/>
              </w:rPr>
              <w:t>4,3×</w:t>
            </w:r>
          </w:p>
        </w:tc>
      </w:tr>
    </w:tbl>
    <w:p w14:paraId="59050309" w14:textId="77777777" w:rsidR="001C68D0"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305258F2" w14:textId="77777777" w:rsidR="001C68D0" w:rsidRDefault="00000000">
      <w:pPr>
        <w:spacing w:before="120"/>
        <w:jc w:val="center"/>
      </w:pPr>
      <w:r>
        <w:rPr>
          <w:noProof/>
        </w:rPr>
        <w:drawing>
          <wp:inline distT="0" distB="0" distL="0" distR="0" wp14:anchorId="4DA9BD81" wp14:editId="03D7D695">
            <wp:extent cx="5238750" cy="3248025"/>
            <wp:effectExtent l="0" t="0" r="0" b="0"/>
            <wp:docPr id="16321231"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3248025"/>
                    </a:xfrm>
                    <a:prstGeom prst="rect">
                      <a:avLst/>
                    </a:prstGeom>
                  </pic:spPr>
                </pic:pic>
              </a:graphicData>
            </a:graphic>
          </wp:inline>
        </w:drawing>
      </w:r>
    </w:p>
    <w:p w14:paraId="622B0C3C" w14:textId="77777777" w:rsidR="001C68D0" w:rsidRDefault="00000000">
      <w:pPr>
        <w:spacing w:before="80" w:after="60"/>
        <w:ind w:left="220"/>
      </w:pPr>
      <w:r>
        <w:rPr>
          <w:b/>
          <w:bCs/>
          <w:color w:val="1E3A5F"/>
          <w:sz w:val="20"/>
          <w:szCs w:val="20"/>
        </w:rPr>
        <w:t xml:space="preserve">Figura 6.9.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28814F36" w14:textId="77777777" w:rsidR="001C68D0" w:rsidRDefault="00000000">
      <w:pPr>
        <w:spacing w:after="220"/>
        <w:ind w:left="220"/>
      </w:pPr>
      <w:r>
        <w:rPr>
          <w:i/>
          <w:iCs/>
          <w:color w:val="444444"/>
          <w:sz w:val="18"/>
          <w:szCs w:val="18"/>
        </w:rPr>
        <w:t>Nota. Origen: NB07, Bloque B. n = 76.053 eventos, 8 pacientes. Features calculadas causalmente.</w:t>
      </w:r>
    </w:p>
    <w:p w14:paraId="03C8964C" w14:textId="77777777" w:rsidR="001C68D0" w:rsidRDefault="00000000">
      <w:pPr>
        <w:spacing w:after="140" w:line="280" w:lineRule="auto"/>
        <w:jc w:val="both"/>
      </w:pPr>
      <w:r>
        <w:t>El análisis de importancia de features (gain LightGBM) revela que las variables más predictivas son los contextos acumulados: event_position (gain = 1.651), recent_morph_mean (1.283), ci_so_far (1.169), state_s_enc (874) y frac_path_m_30ev (872). El riesgo de un evento severo se lee como acumulación progresiva de deterioro dentro de la noche: la historia importa tanto como el estado presente.</w:t>
      </w:r>
    </w:p>
    <w:p w14:paraId="413AA69E" w14:textId="77777777" w:rsidR="001C68D0" w:rsidRDefault="00000000">
      <w:pPr>
        <w:spacing w:before="120"/>
        <w:jc w:val="center"/>
      </w:pPr>
      <w:r>
        <w:rPr>
          <w:noProof/>
        </w:rPr>
        <w:lastRenderedPageBreak/>
        <w:drawing>
          <wp:inline distT="0" distB="0" distL="0" distR="0" wp14:anchorId="0A4FD378" wp14:editId="3370650E">
            <wp:extent cx="5238750" cy="3248025"/>
            <wp:effectExtent l="0" t="0" r="0" b="0"/>
            <wp:docPr id="344439439" name="Importancia features LightGBM prediccion evento severo" descr="Importancia features LightGBM prediccion evento severo" title="Importancia features LightGBM prediccion evento sev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3248025"/>
                    </a:xfrm>
                    <a:prstGeom prst="rect">
                      <a:avLst/>
                    </a:prstGeom>
                  </pic:spPr>
                </pic:pic>
              </a:graphicData>
            </a:graphic>
          </wp:inline>
        </w:drawing>
      </w:r>
    </w:p>
    <w:p w14:paraId="0216E068" w14:textId="77777777" w:rsidR="001C68D0" w:rsidRDefault="00000000">
      <w:pPr>
        <w:spacing w:before="80" w:after="60"/>
        <w:ind w:left="220"/>
      </w:pPr>
      <w:r>
        <w:rPr>
          <w:b/>
          <w:bCs/>
          <w:color w:val="1E3A5F"/>
          <w:sz w:val="20"/>
          <w:szCs w:val="20"/>
        </w:rPr>
        <w:t xml:space="preserve">Figura 6.10. </w:t>
      </w:r>
      <w:r>
        <w:rPr>
          <w:i/>
          <w:iCs/>
          <w:sz w:val="20"/>
          <w:szCs w:val="20"/>
        </w:rPr>
        <w:t>Importancia de features del modelo de predicción de evento severo (LightGBM, entrenado sobre corpus completo). Las features de contexto acumulado —posición en la noche, morfología reciente y coupling index acumulado— dominan sobre el estado instantáneo.</w:t>
      </w:r>
    </w:p>
    <w:p w14:paraId="42ABA390" w14:textId="77777777" w:rsidR="001C68D0" w:rsidRDefault="00000000">
      <w:pPr>
        <w:spacing w:after="220"/>
        <w:ind w:left="220"/>
      </w:pPr>
      <w:r>
        <w:rPr>
          <w:i/>
          <w:iCs/>
          <w:color w:val="444444"/>
          <w:sz w:val="18"/>
          <w:szCs w:val="18"/>
        </w:rPr>
        <w:t>Nota. Origen: NB07, Bloque B. Importancia de tipo gain. n = 76.053 eventos.</w:t>
      </w:r>
    </w:p>
    <w:p w14:paraId="4DAEA47B" w14:textId="77777777" w:rsidR="001C68D0" w:rsidRDefault="00000000">
      <w:pPr>
        <w:pStyle w:val="Ttulo2"/>
      </w:pPr>
      <w:r>
        <w:t>6.10  Modelo predictivo a nivel de noche  (NB07, Bloque C)</w:t>
      </w:r>
    </w:p>
    <w:p w14:paraId="3FE8D302" w14:textId="77777777" w:rsidR="001C68D0" w:rsidRDefault="00000000">
      <w:pPr>
        <w:spacing w:after="140" w:line="280" w:lineRule="auto"/>
        <w:jc w:val="both"/>
      </w:pPr>
      <w:r>
        <w:t>El segundo módulo opera a escala nocturna con clasificación binaria: Normal + Leve versus Moderado + Severo (NB07, Bloque C). El corpus es de 494 noches con prevalencia de clase positiva del 34,8 % (172 noches). Las features son agregados de la noche completa —fracciones de tiempo en estados PAC, entropía, transiciones, coupling index, porcentaje de eventos severos, ARI medio y trayectoria—. La clasificación es retrospectiva: se realiza sobre la noche ya completada.</w:t>
      </w:r>
    </w:p>
    <w:p w14:paraId="61F3C2C6" w14:textId="77777777" w:rsidR="001C68D0" w:rsidRDefault="00000000">
      <w:pPr>
        <w:spacing w:after="140" w:line="280" w:lineRule="auto"/>
        <w:jc w:val="both"/>
      </w:pPr>
      <w:r>
        <w:t>La regresión logística obtuvo AUC = 0,905 y Average Precision = 0,834 (baseline = 0,348). El Random Forest obtuvo AUC = 0,783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5F8417F8" w14:textId="77777777" w:rsidR="001C68D0"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00"/>
        <w:gridCol w:w="2000"/>
        <w:gridCol w:w="1866"/>
      </w:tblGrid>
      <w:tr w:rsidR="001C68D0" w14:paraId="7050D529"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9987077" w14:textId="77777777" w:rsidR="001C68D0"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81F6A3D" w14:textId="77777777" w:rsidR="001C68D0"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3B53F2" w14:textId="77777777" w:rsidR="001C68D0"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01DB7" w14:textId="77777777" w:rsidR="001C68D0" w:rsidRDefault="00000000">
            <w:r>
              <w:rPr>
                <w:b/>
                <w:bCs/>
                <w:color w:val="FFFFFF"/>
                <w:sz w:val="19"/>
                <w:szCs w:val="19"/>
              </w:rPr>
              <w:t>Baseline AP</w:t>
            </w:r>
          </w:p>
        </w:tc>
      </w:tr>
      <w:tr w:rsidR="001C68D0" w14:paraId="7B507E9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E845F" w14:textId="77777777" w:rsidR="001C68D0"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921BB" w14:textId="77777777" w:rsidR="001C68D0" w:rsidRDefault="00000000">
            <w:r>
              <w:rPr>
                <w:sz w:val="19"/>
                <w:szCs w:val="19"/>
              </w:rPr>
              <w:t>0,905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FC804" w14:textId="77777777" w:rsidR="001C68D0" w:rsidRDefault="00000000">
            <w:r>
              <w:rPr>
                <w:sz w:val="19"/>
                <w:szCs w:val="19"/>
              </w:rPr>
              <w:t>0,834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92D6D" w14:textId="77777777" w:rsidR="001C68D0" w:rsidRDefault="00000000">
            <w:r>
              <w:rPr>
                <w:sz w:val="19"/>
                <w:szCs w:val="19"/>
              </w:rPr>
              <w:t>0,348</w:t>
            </w:r>
          </w:p>
        </w:tc>
      </w:tr>
      <w:tr w:rsidR="001C68D0" w14:paraId="4E349827"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A16734D" w14:textId="77777777" w:rsidR="001C68D0"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A522D36" w14:textId="77777777" w:rsidR="001C68D0" w:rsidRDefault="00000000">
            <w:r>
              <w:rPr>
                <w:sz w:val="19"/>
                <w:szCs w:val="19"/>
              </w:rPr>
              <w:t>0,783</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D9D3B19" w14:textId="77777777" w:rsidR="001C68D0"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3F0F6B1" w14:textId="77777777" w:rsidR="001C68D0" w:rsidRDefault="00000000">
            <w:r>
              <w:rPr>
                <w:sz w:val="19"/>
                <w:szCs w:val="19"/>
              </w:rPr>
              <w:t>0,348</w:t>
            </w:r>
          </w:p>
        </w:tc>
      </w:tr>
    </w:tbl>
    <w:p w14:paraId="52BDDE51" w14:textId="77777777" w:rsidR="001C68D0" w:rsidRDefault="00000000">
      <w:pPr>
        <w:spacing w:after="220"/>
        <w:ind w:left="220"/>
      </w:pPr>
      <w:r>
        <w:rPr>
          <w:i/>
          <w:iCs/>
          <w:color w:val="444444"/>
          <w:sz w:val="18"/>
          <w:szCs w:val="18"/>
        </w:rPr>
        <w:t>Nota. Clasificación binaria: Normal+Leve vs. Moderado+Severo. n = 494 noches, 8 pacientes. Origen: NB07, Bloque C.</w:t>
      </w:r>
    </w:p>
    <w:p w14:paraId="5906B492" w14:textId="77777777" w:rsidR="001C68D0" w:rsidRDefault="00000000">
      <w:pPr>
        <w:spacing w:before="120"/>
        <w:jc w:val="center"/>
      </w:pPr>
      <w:r>
        <w:rPr>
          <w:noProof/>
        </w:rPr>
        <w:lastRenderedPageBreak/>
        <w:drawing>
          <wp:inline distT="0" distB="0" distL="0" distR="0" wp14:anchorId="79E1A858" wp14:editId="61042523">
            <wp:extent cx="5238750" cy="2181225"/>
            <wp:effectExtent l="0" t="0" r="0" b="0"/>
            <wp:docPr id="729931733"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2181225"/>
                    </a:xfrm>
                    <a:prstGeom prst="rect">
                      <a:avLst/>
                    </a:prstGeom>
                  </pic:spPr>
                </pic:pic>
              </a:graphicData>
            </a:graphic>
          </wp:inline>
        </w:drawing>
      </w:r>
    </w:p>
    <w:p w14:paraId="714A3B7F" w14:textId="77777777" w:rsidR="001C68D0" w:rsidRDefault="00000000">
      <w:pPr>
        <w:spacing w:before="80" w:after="60"/>
        <w:ind w:left="220"/>
      </w:pPr>
      <w:r>
        <w:rPr>
          <w:b/>
          <w:bCs/>
          <w:color w:val="1E3A5F"/>
          <w:sz w:val="20"/>
          <w:szCs w:val="20"/>
        </w:rPr>
        <w:t xml:space="preserve">Figura 6.11. </w:t>
      </w:r>
      <w:r>
        <w:rPr>
          <w:i/>
          <w:iCs/>
          <w:sz w:val="20"/>
          <w:szCs w:val="20"/>
        </w:rPr>
        <w:t>Curvas ROC y Precision-Recall para la clasificación nocturna binaria (LOPO-CV, NB07 Bloque C). Logística (azul): AUC = 0,905, AP = 0,834. Random Forest (rojo): AUC = 0,783, AP = 0,649. Baseline AP = 0,348 (prevalencia de clase positiva).</w:t>
      </w:r>
    </w:p>
    <w:p w14:paraId="47D97E02" w14:textId="77777777" w:rsidR="001C68D0" w:rsidRDefault="00000000">
      <w:pPr>
        <w:spacing w:after="220"/>
        <w:ind w:left="220"/>
      </w:pPr>
      <w:r>
        <w:rPr>
          <w:i/>
          <w:iCs/>
          <w:color w:val="444444"/>
          <w:sz w:val="18"/>
          <w:szCs w:val="18"/>
        </w:rPr>
        <w:t>Nota. Origen: NB07, Bloque C. n = 494 noches, 8 pacientes.</w:t>
      </w:r>
    </w:p>
    <w:p w14:paraId="7DC3EAC4" w14:textId="77777777" w:rsidR="001C68D0"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0,905.</w:t>
      </w:r>
    </w:p>
    <w:p w14:paraId="60124B73" w14:textId="77777777" w:rsidR="001C68D0" w:rsidRDefault="00000000">
      <w:pPr>
        <w:spacing w:before="120"/>
        <w:jc w:val="center"/>
      </w:pPr>
      <w:r>
        <w:rPr>
          <w:noProof/>
        </w:rPr>
        <w:drawing>
          <wp:inline distT="0" distB="0" distL="0" distR="0" wp14:anchorId="7711A294" wp14:editId="7A96F30F">
            <wp:extent cx="5238750" cy="3476625"/>
            <wp:effectExtent l="0" t="0" r="0" b="0"/>
            <wp:docPr id="83997447" name="Feature importance modelo nocturno binario Random Forest" descr="Feature importance modelo nocturno binario Random Forest" title="Feature importance modelo nocturno binario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3476625"/>
                    </a:xfrm>
                    <a:prstGeom prst="rect">
                      <a:avLst/>
                    </a:prstGeom>
                  </pic:spPr>
                </pic:pic>
              </a:graphicData>
            </a:graphic>
          </wp:inline>
        </w:drawing>
      </w:r>
    </w:p>
    <w:p w14:paraId="38E56A59" w14:textId="77777777" w:rsidR="001C68D0" w:rsidRDefault="00000000">
      <w:pPr>
        <w:spacing w:before="80" w:after="60"/>
        <w:ind w:left="220"/>
      </w:pPr>
      <w:r>
        <w:rPr>
          <w:b/>
          <w:bCs/>
          <w:color w:val="1E3A5F"/>
          <w:sz w:val="20"/>
          <w:szCs w:val="20"/>
        </w:rPr>
        <w:t xml:space="preserve">Figura 6.12. </w:t>
      </w:r>
      <w:r>
        <w:rPr>
          <w:i/>
          <w:iCs/>
          <w:sz w:val="20"/>
          <w:szCs w:val="20"/>
        </w:rPr>
        <w:t>Importancia de features del modelo nocturno binario (Random Forest, NB07 Bloque C). Las fracciones de estados de escala M dominan: frac_state_m_M0 (0,203), frac_state_m_M3 (0,198), frac_state_m_M1 (0,152) y frac_state_m_M2 (0,141) acumulan el 69,4 % del total.</w:t>
      </w:r>
    </w:p>
    <w:p w14:paraId="542D9D91" w14:textId="77777777" w:rsidR="001C68D0" w:rsidRDefault="00000000">
      <w:pPr>
        <w:spacing w:after="220"/>
        <w:ind w:left="220"/>
      </w:pPr>
      <w:r>
        <w:rPr>
          <w:i/>
          <w:iCs/>
          <w:color w:val="444444"/>
          <w:sz w:val="18"/>
          <w:szCs w:val="18"/>
        </w:rPr>
        <w:t>Nota. Origen: NB07, Bloque C. n = 494 noches, 8 pacientes.</w:t>
      </w:r>
    </w:p>
    <w:p w14:paraId="75029738" w14:textId="77777777" w:rsidR="001C68D0" w:rsidRDefault="00000000">
      <w:pPr>
        <w:pStyle w:val="Ttulo2"/>
      </w:pPr>
      <w:r>
        <w:t>6.11  Interpretabilidad del modelo nocturno</w:t>
      </w:r>
    </w:p>
    <w:p w14:paraId="7F702D7C" w14:textId="77777777" w:rsidR="001C68D0" w:rsidRDefault="00000000">
      <w:pPr>
        <w:spacing w:after="140" w:line="280" w:lineRule="auto"/>
        <w:jc w:val="both"/>
      </w:pPr>
      <w:r>
        <w:lastRenderedPageBreak/>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0D8DEEB4" w14:textId="77777777" w:rsidR="001C68D0" w:rsidRDefault="00000000">
      <w:pPr>
        <w:pStyle w:val="Ttulo2"/>
      </w:pPr>
      <w:r>
        <w:t>6.12  Risk Score PAC: integración evento–noche  (NB07, Bloque D)</w:t>
      </w:r>
    </w:p>
    <w:p w14:paraId="190B1E39" w14:textId="77777777" w:rsidR="001C68D0"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5A933856" w14:textId="77777777" w:rsidR="001C68D0"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1000"/>
        <w:gridCol w:w="2466"/>
      </w:tblGrid>
      <w:tr w:rsidR="001C68D0" w14:paraId="608D465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E52DF5" w14:textId="77777777" w:rsidR="001C68D0"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F20ED5D" w14:textId="77777777" w:rsidR="001C68D0"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D3EEF11" w14:textId="77777777" w:rsidR="001C68D0"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2661054" w14:textId="77777777" w:rsidR="001C68D0" w:rsidRDefault="00000000">
            <w:r>
              <w:rPr>
                <w:b/>
                <w:bCs/>
                <w:color w:val="FFFFFF"/>
                <w:sz w:val="19"/>
                <w:szCs w:val="19"/>
              </w:rPr>
              <w:t>AUC base</w:t>
            </w:r>
          </w:p>
        </w:tc>
      </w:tr>
      <w:tr w:rsidR="001C68D0" w14:paraId="743245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0AA63" w14:textId="77777777" w:rsidR="001C68D0"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55A94" w14:textId="77777777" w:rsidR="001C68D0"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0A599" w14:textId="77777777" w:rsidR="001C68D0"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DC383" w14:textId="77777777" w:rsidR="001C68D0" w:rsidRDefault="00000000">
            <w:r>
              <w:rPr>
                <w:sz w:val="19"/>
                <w:szCs w:val="19"/>
              </w:rPr>
              <w:t>0,878</w:t>
            </w:r>
          </w:p>
        </w:tc>
      </w:tr>
      <w:tr w:rsidR="001C68D0" w14:paraId="1109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AB4D7D" w14:textId="77777777" w:rsidR="001C68D0"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1C893CC" w14:textId="77777777" w:rsidR="001C68D0"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6DAB55A" w14:textId="77777777" w:rsidR="001C68D0"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6C1909" w14:textId="77777777" w:rsidR="001C68D0" w:rsidRDefault="00000000">
            <w:r>
              <w:rPr>
                <w:sz w:val="19"/>
                <w:szCs w:val="19"/>
              </w:rPr>
              <w:t>0,905</w:t>
            </w:r>
          </w:p>
        </w:tc>
      </w:tr>
    </w:tbl>
    <w:p w14:paraId="28CA7241" w14:textId="77777777" w:rsidR="001C68D0"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798DFD54" w14:textId="77777777" w:rsidR="001C68D0"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AUC superior (0,905 frente a 0,878), su naturaleza global —condensa la arquitectura completa de la noche— y su menor sensibilidad al ruido de señal en ventanas individuales. La elección 40/60 no fue sometida a análisis de sensibilidad formal; este aspecto está reconocido como limitación en §6.15.</w:t>
      </w:r>
    </w:p>
    <w:p w14:paraId="573C77ED" w14:textId="77777777" w:rsidR="001C68D0"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45D1950A" w14:textId="77777777" w:rsidR="001C68D0" w:rsidRDefault="00000000">
      <w:pPr>
        <w:spacing w:before="120"/>
        <w:jc w:val="center"/>
      </w:pPr>
      <w:r>
        <w:rPr>
          <w:noProof/>
        </w:rPr>
        <w:lastRenderedPageBreak/>
        <w:drawing>
          <wp:inline distT="0" distB="0" distL="0" distR="0" wp14:anchorId="0BF78ADA" wp14:editId="32967F2C">
            <wp:extent cx="5238750" cy="2009775"/>
            <wp:effectExtent l="0" t="0" r="0" b="0"/>
            <wp:docPr id="1704030590"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2009775"/>
                    </a:xfrm>
                    <a:prstGeom prst="rect">
                      <a:avLst/>
                    </a:prstGeom>
                  </pic:spPr>
                </pic:pic>
              </a:graphicData>
            </a:graphic>
          </wp:inline>
        </w:drawing>
      </w:r>
    </w:p>
    <w:p w14:paraId="144F8796" w14:textId="77777777" w:rsidR="001C68D0" w:rsidRDefault="00000000">
      <w:pPr>
        <w:spacing w:before="80" w:after="60"/>
        <w:ind w:left="220"/>
      </w:pPr>
      <w:r>
        <w:rPr>
          <w:b/>
          <w:bCs/>
          <w:color w:val="1E3A5F"/>
          <w:sz w:val="20"/>
          <w:szCs w:val="20"/>
        </w:rPr>
        <w:t xml:space="preserve">Figura 6.13.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4A114EFF" w14:textId="77777777" w:rsidR="001C68D0" w:rsidRDefault="00000000">
      <w:pPr>
        <w:spacing w:after="220"/>
        <w:ind w:left="220"/>
      </w:pPr>
      <w:r>
        <w:rPr>
          <w:i/>
          <w:iCs/>
          <w:color w:val="444444"/>
          <w:sz w:val="18"/>
          <w:szCs w:val="18"/>
        </w:rPr>
        <w:t>Nota. Origen: NB07, Bloque D. n = 494 noches. El 100 % de las Severas superan el umbral 60; el 77,6 % de las Moderadas; el 9,4 % de las Leves; el 0 % de las Normales.</w:t>
      </w:r>
    </w:p>
    <w:p w14:paraId="15106DBF" w14:textId="77777777" w:rsidR="001C68D0" w:rsidRDefault="00000000">
      <w:pPr>
        <w:spacing w:before="120"/>
        <w:jc w:val="center"/>
      </w:pPr>
      <w:r>
        <w:rPr>
          <w:noProof/>
        </w:rPr>
        <w:drawing>
          <wp:inline distT="0" distB="0" distL="0" distR="0" wp14:anchorId="52999ABE" wp14:editId="69D24A1B">
            <wp:extent cx="5238750" cy="2009775"/>
            <wp:effectExtent l="0" t="0" r="0" b="0"/>
            <wp:docPr id="332155917"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38750" cy="2009775"/>
                    </a:xfrm>
                    <a:prstGeom prst="rect">
                      <a:avLst/>
                    </a:prstGeom>
                  </pic:spPr>
                </pic:pic>
              </a:graphicData>
            </a:graphic>
          </wp:inline>
        </w:drawing>
      </w:r>
    </w:p>
    <w:p w14:paraId="324EFB73" w14:textId="77777777" w:rsidR="001C68D0" w:rsidRDefault="00000000">
      <w:pPr>
        <w:spacing w:before="80" w:after="60"/>
        <w:ind w:left="220"/>
      </w:pPr>
      <w:r>
        <w:rPr>
          <w:b/>
          <w:bCs/>
          <w:color w:val="1E3A5F"/>
          <w:sz w:val="20"/>
          <w:szCs w:val="20"/>
        </w:rPr>
        <w:t xml:space="preserve">Figura 6.14. </w:t>
      </w:r>
      <w:r>
        <w:rPr>
          <w:i/>
          <w:iCs/>
          <w:sz w:val="20"/>
          <w:szCs w:val="20"/>
        </w:rPr>
        <w:t>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14:paraId="1B11340F" w14:textId="77777777" w:rsidR="001C68D0" w:rsidRDefault="00000000">
      <w:pPr>
        <w:spacing w:after="220"/>
        <w:ind w:left="220"/>
      </w:pPr>
      <w:r>
        <w:rPr>
          <w:i/>
          <w:iCs/>
          <w:color w:val="444444"/>
          <w:sz w:val="18"/>
          <w:szCs w:val="18"/>
        </w:rPr>
        <w:t>Nota. Origen: NB07, Bloque D. n = 494 noches.</w:t>
      </w:r>
    </w:p>
    <w:p w14:paraId="7E06EFA6" w14:textId="77777777" w:rsidR="001C68D0" w:rsidRDefault="00000000">
      <w:pPr>
        <w:pStyle w:val="Ttulo2"/>
      </w:pPr>
      <w:r>
        <w:t>6.13  Significado clínico del modelo predictivo PAC</w:t>
      </w:r>
    </w:p>
    <w:p w14:paraId="6B24A917" w14:textId="77777777" w:rsidR="001C68D0" w:rsidRDefault="00000000">
      <w:pPr>
        <w:spacing w:after="140" w:line="280" w:lineRule="auto"/>
        <w:jc w:val="both"/>
      </w:pPr>
      <w:r>
        <w:t>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patológicos, con qué frecuencia el organismo se recupera de ellos, qué trayectoria sigue la noche y qué nivel de vulnerabilidad fisiológica acumulada puede estimarse una vez completada.</w:t>
      </w:r>
    </w:p>
    <w:p w14:paraId="7877C5DF" w14:textId="77777777" w:rsidR="001C68D0" w:rsidRDefault="00000000">
      <w:pPr>
        <w:spacing w:after="140" w:line="280" w:lineRule="auto"/>
        <w:jc w:val="both"/>
      </w:pPr>
      <w:r>
        <w:t xml:space="preserve">En términos traslacionales, los dos módulos predictivos tienen utilidades distintas y complementarias. El módulo de evento (AUC = 0,878) utiliza una ventana de contexto causal de ≈5 min (equivalente a la escala M del sistema PAC): las features se calculan a partir de señales y estados previos al evento, sin incorporar información posterior. Esto lo </w:t>
      </w:r>
      <w:r>
        <w:lastRenderedPageBreak/>
        <w:t>hace aplicable en configuraciones de análisis continuo nocturno, aunque su naturaleza es retrospectiva respecto al evento clasificado — no predice la ocurrencia futura de un EDO. La extensión al dominio prospectivo genuino, con predicción de eventos antes de que ocurran y margen temporal para intervención terapéutica, se desarrolla en el Capítulo 8. El módulo nocturno (AUC = 0,905) opera en 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14:paraId="25EEF938" w14:textId="77777777" w:rsidR="001C68D0" w:rsidRDefault="00000000">
      <w:pPr>
        <w:pStyle w:val="Ttulo2"/>
      </w:pPr>
      <w:r>
        <w:t>6.14  Relación con los capítulos previos</w:t>
      </w:r>
    </w:p>
    <w:p w14:paraId="5BDBA0E6" w14:textId="77777777" w:rsidR="001C68D0" w:rsidRDefault="00000000">
      <w:pPr>
        <w:spacing w:after="140" w:line="280" w:lineRule="auto"/>
        <w:jc w:val="both"/>
      </w:pPr>
      <w:r>
        <w:t>El Capítulo 6 funciona como síntesis predictiva de los dos capítulos analíticos precedentes. El Capítulo 4 demostró que los EDOs presentan morfologías distintas (C1–C5): los morfotipos severos (C4, C5) concentran mayor profundidad de caída y mayor carga hipóxica, mientras que el ARI reveló un gradiente autonómico inverso —C5 presentó la respuesta autonómica más baja del corpus (ARI = 0,423), sugiriendo una posible atenuación de la reactividad cardíaca en los eventos más graves—.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14:paraId="13B8834E" w14:textId="77777777" w:rsidR="001C68D0" w:rsidRDefault="00000000">
      <w:pPr>
        <w:spacing w:after="140" w:line="280" w:lineRule="auto"/>
        <w:jc w:val="both"/>
      </w:pPr>
      <w:r>
        <w:t>Los PAC States, construidos de forma completamente no supervisada sobre señales de SpO₂, FC y movimiento, emergen como el grupo predictor dominante en la clasificación de severidad nocturna (44,8 % de la importancia total). La predicción emerge naturalmente de la representación, no como un módulo externo añadido, sino como consecuencia de haber estructurado la complejidad fisiológica en capas de abstracción creciente.</w:t>
      </w:r>
    </w:p>
    <w:p w14:paraId="28920275" w14:textId="77777777" w:rsidR="001C68D0" w:rsidRDefault="00000000">
      <w:pPr>
        <w:pStyle w:val="Ttulo2"/>
      </w:pPr>
      <w:r>
        <w:t>6.15  Limitaciones</w:t>
      </w:r>
    </w:p>
    <w:p w14:paraId="0475020C" w14:textId="77777777" w:rsidR="001C68D0" w:rsidRDefault="00000000">
      <w:pPr>
        <w:spacing w:after="140" w:line="280" w:lineRule="auto"/>
        <w:jc w:val="both"/>
      </w:pPr>
      <w:r>
        <w:t>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resultados deben considerarse señales de factibilidad con magnitud de efecto estimable, no métricas para certificación clínica.</w:t>
      </w:r>
    </w:p>
    <w:p w14:paraId="17DC3B09" w14:textId="77777777" w:rsidR="001C68D0"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76D19657" w14:textId="77777777" w:rsidR="001C68D0" w:rsidRDefault="00000000">
      <w:pPr>
        <w:spacing w:after="140" w:line="280" w:lineRule="auto"/>
        <w:jc w:val="both"/>
      </w:pPr>
      <w:r>
        <w:lastRenderedPageBreak/>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14:paraId="61819225" w14:textId="77777777" w:rsidR="001C68D0" w:rsidRDefault="00000000">
      <w:pPr>
        <w:pStyle w:val="Ttulo2"/>
      </w:pPr>
      <w:r>
        <w:t>6.16  Conclusión</w:t>
      </w:r>
    </w:p>
    <w:p w14:paraId="42D09019" w14:textId="77777777" w:rsidR="001C68D0" w:rsidRDefault="00000000">
      <w:pPr>
        <w:spacing w:after="140" w:line="280" w:lineRule="auto"/>
        <w:jc w:val="both"/>
      </w:pPr>
      <w:r>
        <w:t>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4,9 la probabilidad de observar un evento severo; M1 por 3,3; L0 por 2,0.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14:paraId="5634F62F" w14:textId="77777777" w:rsidR="001C68D0" w:rsidRDefault="00000000">
      <w:pPr>
        <w:spacing w:after="140" w:line="280" w:lineRule="auto"/>
        <w:jc w:val="both"/>
      </w:pPr>
      <w:r>
        <w:t>Los modelos predictivos cuantifican el valor de las representaciones PAC. La clasificación de riesgo nocturno binario alcanza AUC = 0,905 (AP = 0,834 frente a baseline 0,348),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14:paraId="48D54084" w14:textId="77777777" w:rsidR="001C68D0" w:rsidRDefault="00000000">
      <w:pPr>
        <w:spacing w:after="140" w:line="280" w:lineRule="auto"/>
        <w:jc w:val="both"/>
      </w:pPr>
      <w:r>
        <w:t>PAC transforma la noche en una trayectoria fisiológica interpretable. Esa trayectoria permite identificar vulnerabilidad acumulada, persistencia patológica, resiliencia y riesgo integrado. Este capítulo consolida el pasaje desde una medicina del conteo de eventos hacia una medicina de la dinámica nocturna: la información clínicamente relevante no se encuentra solo en cuántos eventos ocurrieron, sino también en cómo se organizaron, en qué contexto aparecieron y qué capacidad de recuperación mostró el organismo frente a ellos. El paso siguiente consiste en traducir esta representación predictiva en una herramienta visual e interpretable para uso clínico y exploratorio.</w:t>
      </w:r>
    </w:p>
    <w:p w14:paraId="3818E0D2" w14:textId="77777777" w:rsidR="001C68D0" w:rsidRDefault="00000000">
      <w:pPr>
        <w:pStyle w:val="Ttulo2"/>
      </w:pPr>
      <w:r>
        <w:t>Referencias</w:t>
      </w:r>
    </w:p>
    <w:p w14:paraId="2D759C1A" w14:textId="77777777" w:rsidR="001C68D0" w:rsidRDefault="00000000">
      <w:pPr>
        <w:spacing w:after="140" w:line="280" w:lineRule="auto"/>
        <w:jc w:val="both"/>
      </w:pPr>
      <w: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13F253AF" w14:textId="77777777" w:rsidR="001C68D0" w:rsidRDefault="00000000">
      <w:pPr>
        <w:spacing w:after="140" w:line="280" w:lineRule="auto"/>
        <w:jc w:val="both"/>
      </w:pPr>
      <w:r>
        <w:t>Berry, R. B., Budhiraja, R., Gottlieb, D. J., Gozal, D., Iber, C., Kapur, V. K., ... &amp; Tangredi, M. M. (2012). Rules for scoring respiratory events in sleep: update of the 2007 AASM Manual for Scoring of Sleep. Journal of Clinical Sleep Medicine, 8(5), 597–619. https://doi.org/10.5664/jcsm.2172</w:t>
      </w:r>
    </w:p>
    <w:p w14:paraId="528129EE" w14:textId="77777777" w:rsidR="001C68D0" w:rsidRDefault="00000000">
      <w:pPr>
        <w:spacing w:after="140" w:line="280" w:lineRule="auto"/>
        <w:jc w:val="both"/>
      </w:pPr>
      <w:r>
        <w:lastRenderedPageBreak/>
        <w:t>Inza, R., et al. (en preparación). Fenotipado morfológico y respuesta autonómica en eventos de desaturación nocturna: el Índice de Reactividad Autonómica (ARI). [T1]</w:t>
      </w:r>
    </w:p>
    <w:p w14:paraId="403262A2" w14:textId="77777777" w:rsidR="001C68D0" w:rsidRDefault="00000000">
      <w:pPr>
        <w:spacing w:after="140" w:line="280" w:lineRule="auto"/>
        <w:jc w:val="both"/>
      </w:pPr>
      <w:r>
        <w:t>Inza, R., et al. (en preparación). Estados dinámicos multiescala de la fisiología respiratoria nocturna: morfotipos, carga hipóxica y reactividad autonómica. [T2]</w:t>
      </w:r>
    </w:p>
    <w:p w14:paraId="67FEAC27" w14:textId="77777777" w:rsidR="001C68D0" w:rsidRDefault="00000000">
      <w:pPr>
        <w:spacing w:after="140" w:line="280" w:lineRule="auto"/>
        <w:jc w:val="both"/>
      </w:pPr>
      <w:r>
        <w:t>Inza, R., et al. (en preparación). Acoplamiento evento–estado, trayectorias nocturnas y predicción de severidad en SAOS: el sistema PAC. [T3]</w:t>
      </w:r>
    </w:p>
    <w:p w14:paraId="301F4310" w14:textId="77777777" w:rsidR="001C68D0" w:rsidRDefault="00000000">
      <w:pPr>
        <w:spacing w:after="140" w:line="280" w:lineRule="auto"/>
        <w:jc w:val="both"/>
      </w:pPr>
      <w:r>
        <w:t>Landis, J. R., &amp; Koch, G. G. (1977). The measurement of observer agreement for categorical data. Biometrics, 33(1), 159–174. https://doi.org/10.2307/2529310</w:t>
      </w:r>
    </w:p>
    <w:p w14:paraId="3A5C900F" w14:textId="77777777" w:rsidR="001C68D0" w:rsidRDefault="00000000">
      <w:pPr>
        <w:spacing w:after="140" w:line="280" w:lineRule="auto"/>
        <w:jc w:val="both"/>
      </w:pPr>
      <w:r>
        <w:t>Lévy, P., Kohler, M., McNicholas, W. T., Barbé, F., McEvoy, R. D., Somers, V. K., ... &amp; Pépin, J.-L. (2015). Obstructive sleep apnoea syndrome. Nature Reviews Disease Primers, 1, 15015. https://doi.org/10.1038/nrdp.2015.15</w:t>
      </w:r>
    </w:p>
    <w:p w14:paraId="0C0F61B9" w14:textId="77777777" w:rsidR="001C68D0" w:rsidRDefault="00000000">
      <w:pPr>
        <w:spacing w:after="140" w:line="280" w:lineRule="auto"/>
        <w:jc w:val="both"/>
      </w:pPr>
      <w:r>
        <w:t>Wasserstein, R. L., &amp; Lazar, N. A. (2016). The ASA statement on p-values: context, process, and purpose. The American Statistician, 70(2), 129–133. https://doi.org/10.1080/00031305.2016.1154108</w:t>
      </w:r>
    </w:p>
    <w:sectPr w:rsidR="001C68D0">
      <w:headerReference w:type="default" r:id="rId21"/>
      <w:footerReference w:type="default" r:id="rId2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2149D" w14:textId="77777777" w:rsidR="00AE3065" w:rsidRDefault="00AE3065">
      <w:r>
        <w:separator/>
      </w:r>
    </w:p>
  </w:endnote>
  <w:endnote w:type="continuationSeparator" w:id="0">
    <w:p w14:paraId="3E0ECB6D" w14:textId="77777777" w:rsidR="00AE3065" w:rsidRDefault="00AE3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AE246" w14:textId="77777777" w:rsidR="001C68D0"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3A30C8">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07EE7" w14:textId="77777777" w:rsidR="00AE3065" w:rsidRDefault="00AE3065">
      <w:r>
        <w:separator/>
      </w:r>
    </w:p>
  </w:footnote>
  <w:footnote w:type="continuationSeparator" w:id="0">
    <w:p w14:paraId="05313EDF" w14:textId="77777777" w:rsidR="00AE3065" w:rsidRDefault="00AE3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3E330" w14:textId="77777777" w:rsidR="001C68D0"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67C4A"/>
    <w:multiLevelType w:val="hybridMultilevel"/>
    <w:tmpl w:val="E4A8C5FA"/>
    <w:lvl w:ilvl="0" w:tplc="9DC2A6A4">
      <w:start w:val="1"/>
      <w:numFmt w:val="bullet"/>
      <w:lvlText w:val="●"/>
      <w:lvlJc w:val="left"/>
      <w:pPr>
        <w:ind w:left="720" w:hanging="360"/>
      </w:pPr>
    </w:lvl>
    <w:lvl w:ilvl="1" w:tplc="7108B682">
      <w:start w:val="1"/>
      <w:numFmt w:val="bullet"/>
      <w:lvlText w:val="○"/>
      <w:lvlJc w:val="left"/>
      <w:pPr>
        <w:ind w:left="1440" w:hanging="360"/>
      </w:pPr>
    </w:lvl>
    <w:lvl w:ilvl="2" w:tplc="1878252A">
      <w:start w:val="1"/>
      <w:numFmt w:val="bullet"/>
      <w:lvlText w:val="■"/>
      <w:lvlJc w:val="left"/>
      <w:pPr>
        <w:ind w:left="2160" w:hanging="360"/>
      </w:pPr>
    </w:lvl>
    <w:lvl w:ilvl="3" w:tplc="06122B34">
      <w:start w:val="1"/>
      <w:numFmt w:val="bullet"/>
      <w:lvlText w:val="●"/>
      <w:lvlJc w:val="left"/>
      <w:pPr>
        <w:ind w:left="2880" w:hanging="360"/>
      </w:pPr>
    </w:lvl>
    <w:lvl w:ilvl="4" w:tplc="E9F27F42">
      <w:start w:val="1"/>
      <w:numFmt w:val="bullet"/>
      <w:lvlText w:val="○"/>
      <w:lvlJc w:val="left"/>
      <w:pPr>
        <w:ind w:left="3600" w:hanging="360"/>
      </w:pPr>
    </w:lvl>
    <w:lvl w:ilvl="5" w:tplc="64AA3882">
      <w:start w:val="1"/>
      <w:numFmt w:val="bullet"/>
      <w:lvlText w:val="■"/>
      <w:lvlJc w:val="left"/>
      <w:pPr>
        <w:ind w:left="4320" w:hanging="360"/>
      </w:pPr>
    </w:lvl>
    <w:lvl w:ilvl="6" w:tplc="477CB18C">
      <w:start w:val="1"/>
      <w:numFmt w:val="bullet"/>
      <w:lvlText w:val="●"/>
      <w:lvlJc w:val="left"/>
      <w:pPr>
        <w:ind w:left="5040" w:hanging="360"/>
      </w:pPr>
    </w:lvl>
    <w:lvl w:ilvl="7" w:tplc="B5C86F9A">
      <w:start w:val="1"/>
      <w:numFmt w:val="bullet"/>
      <w:lvlText w:val="●"/>
      <w:lvlJc w:val="left"/>
      <w:pPr>
        <w:ind w:left="5760" w:hanging="360"/>
      </w:pPr>
    </w:lvl>
    <w:lvl w:ilvl="8" w:tplc="E9C85FB4">
      <w:start w:val="1"/>
      <w:numFmt w:val="bullet"/>
      <w:lvlText w:val="●"/>
      <w:lvlJc w:val="left"/>
      <w:pPr>
        <w:ind w:left="6480" w:hanging="360"/>
      </w:pPr>
    </w:lvl>
  </w:abstractNum>
  <w:num w:numId="1" w16cid:durableId="5986785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8D0"/>
    <w:rsid w:val="001C68D0"/>
    <w:rsid w:val="003A30C8"/>
    <w:rsid w:val="00AA5355"/>
    <w:rsid w:val="00AE306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70245D30"/>
  <w15:docId w15:val="{4A2A9BE6-78F4-8745-B22B-F0619F00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6048</Words>
  <Characters>32968</Characters>
  <Application>Microsoft Office Word</Application>
  <DocSecurity>0</DocSecurity>
  <Lines>766</Lines>
  <Paragraphs>415</Paragraphs>
  <ScaleCrop>false</ScaleCrop>
  <Company/>
  <LinksUpToDate>false</LinksUpToDate>
  <CharactersWithSpaces>38601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2026-05-27T00:40:00Z</dcterms:created>
  <dcterms:modified xsi:type="dcterms:W3CDTF">2026-05-27T00:41:00Z</dcterms:modified>
</cp:coreProperties>
</file>