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7</w:t>
      </w:r>
    </w:p>
    <w:p>
      <w:pPr>
        <w:spacing w:after="120" w:before="60"/>
      </w:pPr>
      <w:r>
        <w:rPr>
          <w:rFonts w:ascii="Arial" w:cs="Arial" w:eastAsia="Arial" w:hAnsi="Arial"/>
          <w:b/>
          <w:bCs/>
          <w:color w:val="1E3A5F"/>
          <w:sz w:val="36"/>
          <w:szCs w:val="36"/>
        </w:rPr>
        <w:t xml:space="preserve">Interfaz Clínica Interactiva: PAC App</w:t>
      </w:r>
    </w:p>
    <w:p>
      <w:pPr>
        <w:spacing w:after="360" w:before="60"/>
      </w:pPr>
      <w:r>
        <w:rPr>
          <w:rFonts w:ascii="Arial" w:cs="Arial" w:eastAsia="Arial" w:hAnsi="Arial"/>
          <w:color w:val="6B7280"/>
          <w:sz w:val="18"/>
          <w:szCs w:val="18"/>
        </w:rPr>
        <w:t xml:space="preserve">Versión 14  ·  Mayo 2026</w:t>
      </w:r>
    </w:p>
    <w:p>
      <w:pPr>
        <w:spacing w:after="160" w:before="0"/>
      </w:pPr>
      <w:r>
        <w:rPr>
          <w:rFonts w:ascii="Arial" w:cs="Arial" w:eastAsia="Arial" w:hAnsi="Arial"/>
          <w:sz w:val="22"/>
          <w:szCs w:val="22"/>
        </w:rPr>
        <w:t xml:space="preserve">Los capítulos precedentes construyeron, desde la señal bruta del pulsioxímetro hasta los modelos predictivos, un conjunto de representaciones analíticas de la fisiología nocturna del SAOS: morfotipos de curvas SpO₂ (Cap04), el </w:t>
      </w:r>
      <w:r>
        <w:rPr>
          <w:rFonts w:ascii="Arial" w:cs="Arial" w:eastAsia="Arial" w:hAnsi="Arial"/>
          <w:b/>
          <w:bCs/>
          <w:sz w:val="22"/>
          <w:szCs w:val="22"/>
        </w:rPr>
        <w:t xml:space="preserve">Índice de Reactividad Autonómica (ARI)</w:t>
      </w:r>
      <w:r>
        <w:rPr>
          <w:rFonts w:ascii="Arial" w:cs="Arial" w:eastAsia="Arial" w:hAnsi="Arial"/>
          <w:sz w:val="22"/>
          <w:szCs w:val="22"/>
        </w:rPr>
        <w:t xml:space="preserve"> (Cap04), los estados PAC en tres escalas temporales (Cap05) y el Risk Score nocturno basado en LightGBM y regresión logística (Cap06). Estas representaciones, aunque computacionalmente rigurosas, requieren una interfaz de traducción para ser utilizables en la práctica clínica. El presente capítulo describe el desarrollo de la </w:t>
      </w:r>
      <w:r>
        <w:rPr>
          <w:rFonts w:ascii="Arial" w:cs="Arial" w:eastAsia="Arial" w:hAnsi="Arial"/>
          <w:b/>
          <w:bCs/>
          <w:sz w:val="22"/>
          <w:szCs w:val="22"/>
        </w:rPr>
        <w:t xml:space="preserve">PAC App</w:t>
      </w:r>
      <w:r>
        <w:rPr>
          <w:rFonts w:ascii="Arial" w:cs="Arial" w:eastAsia="Arial" w:hAnsi="Arial"/>
          <w:sz w:val="22"/>
          <w:szCs w:val="22"/>
        </w:rPr>
        <w:t xml:space="preserve">, una aplicación web interactiva implementada en Streamlit sobre Python, que materializa esas representaciones en un flujo de trabajo accesible para el especialista: cargar el archivo de oximetría nocturna del SOMNI 6000, obtener un perfil fenotípico completo y —opcionalmente— generar un informe clínico en lenguaje natural mediante inteligencia artificial generativa.</w:t>
      </w:r>
    </w:p>
    <w:p>
      <w:pPr>
        <w:pStyle w:val="Heading1"/>
        <w:spacing w:after="120" w:before="360"/>
      </w:pPr>
      <w:r>
        <w:rPr>
          <w:rFonts w:ascii="Arial" w:cs="Arial" w:eastAsia="Arial" w:hAnsi="Arial"/>
          <w:b/>
          <w:bCs/>
          <w:color w:val="1E3A5F"/>
          <w:sz w:val="28"/>
          <w:szCs w:val="28"/>
        </w:rPr>
        <w:t xml:space="preserve">7.1 Motivación, objetivos y contribución</w:t>
      </w:r>
    </w:p>
    <w:p>
      <w:pPr>
        <w:spacing w:after="160" w:before="0"/>
      </w:pPr>
      <w:r>
        <w:rPr>
          <w:rFonts w:ascii="Arial" w:cs="Arial" w:eastAsia="Arial" w:hAnsi="Arial"/>
          <w:sz w:val="22"/>
          <w:szCs w:val="22"/>
        </w:rPr>
        <w:t xml:space="preserve">El análisis desarrollado en los capítulos anteriores operó sobre la cohorte completa en modo </w:t>
      </w:r>
      <w:r>
        <w:rPr>
          <w:rFonts w:ascii="Arial" w:cs="Arial" w:eastAsia="Arial" w:hAnsi="Arial"/>
          <w:i/>
          <w:iCs/>
          <w:sz w:val="22"/>
          <w:szCs w:val="22"/>
        </w:rPr>
        <w:t xml:space="preserve">batch</w:t>
      </w:r>
      <w:r>
        <w:rPr>
          <w:rFonts w:ascii="Arial" w:cs="Arial" w:eastAsia="Arial" w:hAnsi="Arial"/>
          <w:sz w:val="22"/>
          <w:szCs w:val="22"/>
        </w:rPr>
        <w:t xml:space="preserve">: cada cuaderno (NB01–NB07) procesó simultáneamente las 560 noches disponibles. Este modo, apropiado para la investigación, no es compatible con el flujo clínico real, en el que el médico recibe noche a noche el archivo Excel del SOMNI 6000 para un paciente individual. La PAC App toma ese mismo archivo, ejecuta el pipeline PAC_v3 sobre esa única noche y devuelve al clínico una interpretación estructurada en menos de 60 segundos en hardware estándar.</w:t>
      </w:r>
    </w:p>
    <w:p>
      <w:pPr>
        <w:spacing w:after="160" w:before="0"/>
      </w:pPr>
      <w:r>
        <w:rPr>
          <w:rFonts w:ascii="Arial" w:cs="Arial" w:eastAsia="Arial" w:hAnsi="Arial"/>
          <w:sz w:val="22"/>
          <w:szCs w:val="22"/>
        </w:rPr>
        <w:t xml:space="preserve">Los objetivos de la interfaz son tres:</w:t>
      </w:r>
    </w:p>
    <w:p>
      <w:pPr>
        <w:pStyle w:val="ListParagraph"/>
        <w:numPr>
          <w:ilvl w:val="0"/>
          <w:numId w:val="2"/>
        </w:numPr>
        <w:spacing w:after="40" w:before="40"/>
      </w:pPr>
      <w:r>
        <w:rPr>
          <w:rFonts w:ascii="Arial" w:cs="Arial" w:eastAsia="Arial" w:hAnsi="Arial"/>
          <w:b/>
          <w:bCs/>
          <w:sz w:val="22"/>
          <w:szCs w:val="22"/>
        </w:rPr>
        <w:t xml:space="preserve">Procesamiento individual: </w:t>
      </w:r>
      <w:r>
        <w:rPr>
          <w:rFonts w:ascii="Arial" w:cs="Arial" w:eastAsia="Arial" w:hAnsi="Arial"/>
          <w:sz w:val="22"/>
          <w:szCs w:val="22"/>
        </w:rPr>
        <w:t xml:space="preserve">ejecutar el pipeline completo —ingesta, control de calidad, detección de EDOs, clasificación de morfotipos, asignación de estados PAC, cómputo de features y predicción— sobre una sola noche.</w:t>
      </w:r>
    </w:p>
    <w:p>
      <w:pPr>
        <w:pStyle w:val="ListParagraph"/>
        <w:numPr>
          <w:ilvl w:val="0"/>
          <w:numId w:val="2"/>
        </w:numPr>
        <w:spacing w:after="40" w:before="40"/>
      </w:pPr>
      <w:r>
        <w:rPr>
          <w:rFonts w:ascii="Arial" w:cs="Arial" w:eastAsia="Arial" w:hAnsi="Arial"/>
          <w:b/>
          <w:bCs/>
          <w:sz w:val="22"/>
          <w:szCs w:val="22"/>
        </w:rPr>
        <w:t xml:space="preserve">Visualización interactiva: </w:t>
      </w:r>
      <w:r>
        <w:rPr>
          <w:rFonts w:ascii="Arial" w:cs="Arial" w:eastAsia="Arial" w:hAnsi="Arial"/>
          <w:sz w:val="22"/>
          <w:szCs w:val="22"/>
        </w:rPr>
        <w:t xml:space="preserve">exponer las representaciones PAC en gráficos Plotly interactivos que permitan al especialista explorar la señal, los eventos, los estados fisiológicos y la trayectoria nocturna a distintos niveles de granularidad.</w:t>
      </w:r>
    </w:p>
    <w:p>
      <w:pPr>
        <w:pStyle w:val="ListParagraph"/>
        <w:numPr>
          <w:ilvl w:val="0"/>
          <w:numId w:val="2"/>
        </w:numPr>
        <w:spacing w:after="40" w:before="40"/>
      </w:pPr>
      <w:r>
        <w:rPr>
          <w:rFonts w:ascii="Arial" w:cs="Arial" w:eastAsia="Arial" w:hAnsi="Arial"/>
          <w:b/>
          <w:bCs/>
          <w:sz w:val="22"/>
          <w:szCs w:val="22"/>
        </w:rPr>
        <w:t xml:space="preserve">Generación de informe: </w:t>
      </w:r>
      <w:r>
        <w:rPr>
          <w:rFonts w:ascii="Arial" w:cs="Arial" w:eastAsia="Arial" w:hAnsi="Arial"/>
          <w:sz w:val="22"/>
          <w:szCs w:val="22"/>
        </w:rPr>
        <w:t xml:space="preserve">producir, mediante un modelo de lenguaje, un informe narrativo estructurado en dos audiencias —el médico especialista y el paciente— descargable en formato Word.</w:t>
      </w:r>
    </w:p>
    <w:p>
      <w:pPr>
        <w:pStyle w:val="Heading2"/>
        <w:spacing w:after="80" w:before="240"/>
      </w:pPr>
      <w:r>
        <w:rPr>
          <w:rFonts w:ascii="Arial" w:cs="Arial" w:eastAsia="Arial" w:hAnsi="Arial"/>
          <w:b/>
          <w:bCs/>
          <w:color w:val="1E3A5F"/>
          <w:sz w:val="24"/>
          <w:szCs w:val="24"/>
        </w:rPr>
        <w:t xml:space="preserve">7.1.1 Contribución de este capítulo</w:t>
      </w:r>
    </w:p>
    <w:p>
      <w:pPr>
        <w:spacing w:after="160" w:before="0"/>
      </w:pPr>
      <w:r>
        <w:rPr>
          <w:rFonts w:ascii="Arial" w:cs="Arial" w:eastAsia="Arial" w:hAnsi="Arial"/>
          <w:sz w:val="22"/>
          <w:szCs w:val="22"/>
        </w:rPr>
        <w:t xml:space="preserve">La PAC App responde a una pregunta de investigación específica: </w:t>
      </w:r>
      <w:r>
        <w:rPr>
          <w:rFonts w:ascii="Arial" w:cs="Arial" w:eastAsia="Arial" w:hAnsi="Arial"/>
          <w:b/>
          <w:bCs/>
          <w:sz w:val="22"/>
          <w:szCs w:val="22"/>
        </w:rPr>
        <w:t xml:space="preserve">¿pueden las representaciones analíticas del sistema PAC —desarrolladas para operar sobre cohortes completas— producir valor interpretativo sobre la noche individual de un paciente, en el tiempo y el formato que requiere el flujo clínico?</w:t>
      </w:r>
      <w:r>
        <w:rPr>
          <w:rFonts w:ascii="Arial" w:cs="Arial" w:eastAsia="Arial" w:hAnsi="Arial"/>
          <w:sz w:val="22"/>
          <w:szCs w:val="22"/>
        </w:rPr>
        <w:t xml:space="preserve"> Esta pregunta no está resuelta por Cap04–06, que operan en modo batch y devuelven artefactos orientados al investigador (tablas Parquet, plots de Jupyter). La app constituye la prueba de concepto de que el pipeline PAC_v3 es apto para uso clínico individual, en el sentido de que:</w:t>
      </w:r>
    </w:p>
    <w:p>
      <w:pPr>
        <w:pStyle w:val="ListParagraph"/>
        <w:numPr>
          <w:ilvl w:val="0"/>
          <w:numId w:val="3"/>
        </w:numPr>
        <w:spacing w:after="40" w:before="40"/>
      </w:pPr>
      <w:r>
        <w:rPr>
          <w:rFonts w:ascii="Arial" w:cs="Arial" w:eastAsia="Arial" w:hAnsi="Arial"/>
          <w:sz w:val="22"/>
          <w:szCs w:val="22"/>
        </w:rPr>
        <w:t xml:space="preserve">La arquitectura de módulos compartidos (src/pac/) garantiza que los resultados de la app sean idénticos a los producidos por los cuadernos de investigación, sin reimplementación paralela.</w:t>
      </w:r>
    </w:p>
    <w:p>
      <w:pPr>
        <w:pStyle w:val="ListParagraph"/>
        <w:numPr>
          <w:ilvl w:val="0"/>
          <w:numId w:val="3"/>
        </w:numPr>
        <w:spacing w:after="40" w:before="40"/>
      </w:pPr>
      <w:r>
        <w:rPr>
          <w:rFonts w:ascii="Arial" w:cs="Arial" w:eastAsia="Arial" w:hAnsi="Arial"/>
          <w:sz w:val="22"/>
          <w:szCs w:val="22"/>
        </w:rPr>
        <w:t xml:space="preserve">El tiempo de respuesta es compatible con el uso clínico (&lt; 60 s en hardware estándar), lo que diferencia la app de un pipeline de investigación orientado al procesamiento batch nocturno.</w:t>
      </w:r>
    </w:p>
    <w:p>
      <w:pPr>
        <w:pStyle w:val="ListParagraph"/>
        <w:numPr>
          <w:ilvl w:val="0"/>
          <w:numId w:val="3"/>
        </w:numPr>
        <w:spacing w:after="40" w:before="40"/>
      </w:pPr>
      <w:r>
        <w:rPr>
          <w:rFonts w:ascii="Arial" w:cs="Arial" w:eastAsia="Arial" w:hAnsi="Arial"/>
          <w:sz w:val="22"/>
          <w:szCs w:val="22"/>
        </w:rPr>
        <w:t xml:space="preserve">La interfaz de cinco pestañas permite al especialista explorar progresivamente el análisis, desde el Risk Score de un vistazo hasta la dinámica de estados segundo a segundo, sin requerir conocimientos de Python ni de ciencia de datos.</w:t>
      </w:r>
    </w:p>
    <w:p>
      <w:pPr>
        <w:spacing w:after="160" w:before="0"/>
      </w:pPr>
      <w:r>
        <w:rPr>
          <w:rFonts w:ascii="Arial" w:cs="Arial" w:eastAsia="Arial" w:hAnsi="Arial"/>
          <w:sz w:val="22"/>
          <w:szCs w:val="22"/>
        </w:rPr>
        <w:t xml:space="preserve">La contribución no es algorítmica —los algoritmos están en Cap04–06— sino de </w:t>
      </w:r>
      <w:r>
        <w:rPr>
          <w:rFonts w:ascii="Arial" w:cs="Arial" w:eastAsia="Arial" w:hAnsi="Arial"/>
          <w:i/>
          <w:iCs/>
          <w:sz w:val="22"/>
          <w:szCs w:val="22"/>
        </w:rPr>
        <w:t xml:space="preserve">traducibilidad clínica</w:t>
      </w:r>
      <w:r>
        <w:rPr>
          <w:rFonts w:ascii="Arial" w:cs="Arial" w:eastAsia="Arial" w:hAnsi="Arial"/>
          <w:sz w:val="22"/>
          <w:szCs w:val="22"/>
        </w:rPr>
        <w:t xml:space="preserve">: la capacidad de pasar de representaciones computacionales a interpretaciones clínicas accionables. Esta distinción es central en la literatura de soporte a la decisión clínica basado en IA (Sendak et al., 2020; Topol, 2019).</w:t>
      </w:r>
    </w:p>
    <w:p>
      <w:pPr>
        <w:pStyle w:val="Heading1"/>
        <w:spacing w:after="120" w:before="360"/>
      </w:pPr>
      <w:r>
        <w:rPr>
          <w:rFonts w:ascii="Arial" w:cs="Arial" w:eastAsia="Arial" w:hAnsi="Arial"/>
          <w:b/>
          <w:bCs/>
          <w:color w:val="1E3A5F"/>
          <w:sz w:val="28"/>
          <w:szCs w:val="28"/>
        </w:rPr>
        <w:t xml:space="preserve">7.2 Arquitectura del sistema</w:t>
      </w:r>
    </w:p>
    <w:p>
      <w:pPr>
        <w:spacing w:after="160" w:before="0"/>
      </w:pPr>
      <w:r>
        <w:rPr>
          <w:rFonts w:ascii="Arial" w:cs="Arial" w:eastAsia="Arial" w:hAnsi="Arial"/>
          <w:sz w:val="22"/>
          <w:szCs w:val="22"/>
        </w:rPr>
        <w:t xml:space="preserve">La aplicación se construyó sobre Streamlit (Streamlit Inc., 2019), elegido por tres razones: (a) permite construir interfaces web dentro del ecosistema Python del pipeline, sin introducir una capa tecnológica adicional; (b) su integración nativa con Plotly evita transformaciones de formato entre capas; y (c) su modelo de ejecución reactivo simplifica la invalidación de caché y el manejo de estado.</w:t>
      </w:r>
    </w:p>
    <w:p>
      <w:pPr>
        <w:spacing w:after="160" w:before="0"/>
      </w:pPr>
      <w:r>
        <w:rPr>
          <w:rFonts w:ascii="Arial" w:cs="Arial" w:eastAsia="Arial" w:hAnsi="Arial"/>
          <w:sz w:val="22"/>
          <w:szCs w:val="22"/>
        </w:rPr>
        <w:t xml:space="preserve">El sistema se organiza en cuatro capas, ilustradas en la Figura 7.1:</w:t>
      </w:r>
    </w:p>
    <w:p>
      <w:pPr>
        <w:pStyle w:val="ListParagraph"/>
        <w:numPr>
          <w:ilvl w:val="0"/>
          <w:numId w:val="3"/>
        </w:numPr>
        <w:spacing w:after="40" w:before="40"/>
      </w:pPr>
      <w:r>
        <w:rPr>
          <w:rFonts w:ascii="Arial" w:cs="Arial" w:eastAsia="Arial" w:hAnsi="Arial"/>
          <w:b/>
          <w:bCs/>
          <w:sz w:val="22"/>
          <w:szCs w:val="22"/>
        </w:rPr>
        <w:t xml:space="preserve">Módulos core (src/pac/): </w:t>
      </w:r>
      <w:r>
        <w:rPr>
          <w:rFonts w:ascii="Arial" w:cs="Arial" w:eastAsia="Arial" w:hAnsi="Arial"/>
          <w:sz w:val="22"/>
          <w:szCs w:val="22"/>
        </w:rPr>
        <w:t xml:space="preserve">ingesta, detección de eventos, morfotipos de curva y escalar, construcción de ventanas y asignación de estados. Compartidos con el pipeline de investigación NB01–NB07.</w:t>
      </w:r>
    </w:p>
    <w:p>
      <w:pPr>
        <w:pStyle w:val="ListParagraph"/>
        <w:numPr>
          <w:ilvl w:val="0"/>
          <w:numId w:val="3"/>
        </w:numPr>
        <w:spacing w:after="40" w:before="40"/>
      </w:pPr>
      <w:r>
        <w:rPr>
          <w:rFonts w:ascii="Arial" w:cs="Arial" w:eastAsia="Arial" w:hAnsi="Arial"/>
          <w:b/>
          <w:bCs/>
          <w:sz w:val="22"/>
          <w:szCs w:val="22"/>
        </w:rPr>
        <w:t xml:space="preserve">Pipeline de aplicación (app/pipeline.py): </w:t>
      </w:r>
      <w:r>
        <w:rPr>
          <w:rFonts w:ascii="Arial" w:cs="Arial" w:eastAsia="Arial" w:hAnsi="Arial"/>
          <w:sz w:val="22"/>
          <w:szCs w:val="22"/>
        </w:rPr>
        <w:t xml:space="preserve">orquestador delgado que invoca los módulos core, carga los artefactos de modelos entrenados y devuelve un diccionario de resultados estructurado.</w:t>
      </w:r>
    </w:p>
    <w:p>
      <w:pPr>
        <w:pStyle w:val="ListParagraph"/>
        <w:numPr>
          <w:ilvl w:val="0"/>
          <w:numId w:val="3"/>
        </w:numPr>
        <w:spacing w:after="40" w:before="40"/>
      </w:pPr>
      <w:r>
        <w:rPr>
          <w:rFonts w:ascii="Arial" w:cs="Arial" w:eastAsia="Arial" w:hAnsi="Arial"/>
          <w:b/>
          <w:bCs/>
          <w:sz w:val="22"/>
          <w:szCs w:val="22"/>
        </w:rPr>
        <w:t xml:space="preserve">Capa de presentación (app/app.py): </w:t>
      </w:r>
      <w:r>
        <w:rPr>
          <w:rFonts w:ascii="Arial" w:cs="Arial" w:eastAsia="Arial" w:hAnsi="Arial"/>
          <w:sz w:val="22"/>
          <w:szCs w:val="22"/>
        </w:rPr>
        <w:t xml:space="preserve">interfaz Streamlit organizada en cinco pestañas. La constante </w:t>
      </w:r>
      <w:r>
        <w:rPr>
          <w:rFonts w:ascii="Courier New" w:cs="Courier New" w:eastAsia="Courier New" w:hAnsi="Courier New"/>
          <w:color w:val="2D6A4F"/>
          <w:sz w:val="20"/>
          <w:szCs w:val="20"/>
        </w:rPr>
        <w:t xml:space="preserve">_PIPELINE_VERSION = "v2.0"</w:t>
      </w:r>
      <w:r>
        <w:rPr>
          <w:rFonts w:ascii="Arial" w:cs="Arial" w:eastAsia="Arial" w:hAnsi="Arial"/>
          <w:sz w:val="22"/>
          <w:szCs w:val="22"/>
        </w:rPr>
        <w:t xml:space="preserve"> sirve como clave de caché: cualquier actualización del pipeline invalida automáticamente los resultados almacenados.</w:t>
      </w:r>
    </w:p>
    <w:p>
      <w:pPr>
        <w:pStyle w:val="ListParagraph"/>
        <w:numPr>
          <w:ilvl w:val="0"/>
          <w:numId w:val="3"/>
        </w:numPr>
        <w:spacing w:after="40" w:before="40"/>
      </w:pPr>
      <w:r>
        <w:rPr>
          <w:rFonts w:ascii="Arial" w:cs="Arial" w:eastAsia="Arial" w:hAnsi="Arial"/>
          <w:b/>
          <w:bCs/>
          <w:sz w:val="22"/>
          <w:szCs w:val="22"/>
        </w:rPr>
        <w:t xml:space="preserve">Artefactos de modelos (models/): </w:t>
      </w:r>
      <w:r>
        <w:rPr>
          <w:rFonts w:ascii="Arial" w:cs="Arial" w:eastAsia="Arial" w:hAnsi="Arial"/>
          <w:sz w:val="22"/>
          <w:szCs w:val="22"/>
        </w:rPr>
        <w:t xml:space="preserve">modelos K-means de morfotipos y estados (NB01, NB04), modelos LightGBM y regresión logística (NB06–NB07), modelo de trayectorias nocturnas (NB05), arrays de percentiles del ARI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w:t>
      </w:r>
      <w:r>
        <w:rPr>
          <w:rFonts w:ascii="Courier New" w:cs="Courier New" w:eastAsia="Courier New" w:hAnsi="Courier New"/>
          <w:color w:val="2D6A4F"/>
          <w:sz w:val="20"/>
          <w:szCs w:val="20"/>
        </w:rPr>
        <w:t xml:space="preserve">ari_mov_gain_sorted.npy</w:t>
      </w:r>
      <w:r>
        <w:rPr>
          <w:rFonts w:ascii="Arial" w:cs="Arial" w:eastAsia="Arial" w:hAnsi="Arial"/>
          <w:sz w:val="22"/>
          <w:szCs w:val="22"/>
        </w:rPr>
        <w:t xml:space="preserve">) y configuración de features </w:t>
      </w:r>
      <w:r>
        <w:rPr>
          <w:rFonts w:ascii="Courier New" w:cs="Courier New" w:eastAsia="Courier New" w:hAnsi="Courier New"/>
          <w:color w:val="2D6A4F"/>
          <w:sz w:val="20"/>
          <w:szCs w:val="20"/>
        </w:rPr>
        <w:t xml:space="preserve">nb06_config.json</w:t>
      </w:r>
      <w:r>
        <w:rPr>
          <w:rFonts w:ascii="Arial" w:cs="Arial" w:eastAsia="Arial" w:hAnsi="Arial"/>
          <w:sz w:val="22"/>
          <w:szCs w:val="22"/>
        </w:rPr>
        <w:t xml:space="preserve">.</w:t>
      </w:r>
    </w:p>
    <w:p w14:paraId="1E100001" w14:textId="77777777" w:rsidR="00220889" w:rsidRDefault="00000000">
      <w:pPr>
        <w:spacing w:after="80" w:before="80"/>
        <w:jc w:val="both"/>
      </w:pPr>
      <w:r>
        <w:rPr>
          <w:rFonts w:ascii="Arial" w:cs="Arial" w:eastAsia="Arial" w:hAnsi="Arial"/>
          <w:i/>
          <w:iCs/>
          <w:sz w:val="20"/>
          <w:szCs w:val="20"/>
        </w:rPr>
        <w:t>► Figura complementaria en Anexo Figuras: Fig. 7.1 (Arquitectura de la PAC App).</w:t>
      </w:r>
    </w:p>
    <w:p>
      <w:pPr>
        <w:spacing w:after="160" w:before="0"/>
      </w:pPr>
      <w:r>
        <w:rPr>
          <w:rFonts w:ascii="Arial" w:cs="Arial" w:eastAsia="Arial" w:hAnsi="Arial"/>
          <w:sz w:val="22"/>
          <w:szCs w:val="22"/>
        </w:rPr>
        <w:t xml:space="preserve">El cacheo del pipeline se implementa mediante </w:t>
      </w:r>
      <w:r>
        <w:rPr>
          <w:rFonts w:ascii="Courier New" w:cs="Courier New" w:eastAsia="Courier New" w:hAnsi="Courier New"/>
          <w:color w:val="2D6A4F"/>
          <w:sz w:val="20"/>
          <w:szCs w:val="20"/>
        </w:rPr>
        <w:t xml:space="preserve">@st.cache_data</w:t>
      </w:r>
      <w:r>
        <w:rPr>
          <w:rFonts w:ascii="Arial" w:cs="Arial" w:eastAsia="Arial" w:hAnsi="Arial"/>
          <w:sz w:val="22"/>
          <w:szCs w:val="22"/>
        </w:rPr>
        <w:t xml:space="preserve">, parametrizado por el hash del contenido del archivo cargado y la constante de versión. Esto garantiza que el análisis se ejecute una única vez por archivo, incluso si el usuario navega entre pestañas o modifica controles de la interfaz.</w:t>
      </w:r>
    </w:p>
    <w:p>
      <w:pPr>
        <w:pStyle w:val="Heading1"/>
        <w:spacing w:after="120" w:before="360"/>
      </w:pPr>
      <w:r>
        <w:rPr>
          <w:rFonts w:ascii="Arial" w:cs="Arial" w:eastAsia="Arial" w:hAnsi="Arial"/>
          <w:b/>
          <w:bCs/>
          <w:color w:val="1E3A5F"/>
          <w:sz w:val="28"/>
          <w:szCs w:val="28"/>
        </w:rPr>
        <w:t xml:space="preserve">7.3 Decisiones de diseño del pipeline de procesamiento por noche</w:t>
      </w:r>
    </w:p>
    <w:p>
      <w:pPr>
        <w:spacing w:after="160" w:before="0"/>
      </w:pPr>
      <w:r>
        <w:rPr>
          <w:rFonts w:ascii="Arial" w:cs="Arial" w:eastAsia="Arial" w:hAnsi="Arial"/>
          <w:sz w:val="22"/>
          <w:szCs w:val="22"/>
        </w:rPr>
        <w:t xml:space="preserve">El pipeline de aplicación enfrenta un conjunto de decisiones de diseño que no existen en el modo batch de investigación. Tres de ellas merecen explicitarse.</w:t>
      </w:r>
    </w:p>
    <w:p>
      <w:pPr>
        <w:spacing w:after="160" w:before="0"/>
      </w:pPr>
      <w:r>
        <w:rPr>
          <w:rFonts w:ascii="Arial" w:cs="Arial" w:eastAsia="Arial" w:hAnsi="Arial"/>
          <w:b/>
          <w:bCs/>
          <w:sz w:val="22"/>
          <w:szCs w:val="22"/>
        </w:rPr>
        <w:t xml:space="preserve">Consistencia de modelos vs. generalización.</w:t>
      </w:r>
      <w:r>
        <w:rPr>
          <w:rFonts w:ascii="Arial" w:cs="Arial" w:eastAsia="Arial" w:hAnsi="Arial"/>
          <w:sz w:val="22"/>
          <w:szCs w:val="22"/>
        </w:rPr>
        <w:t xml:space="preserve"> Los modelos cargados en la app fueron entrenados en modo LOPO-CV sobre la cohorte estricta de n=8 pacientes. Al aplicarlos sobre una noche individual de un nuevo paciente, el Risk Score y las probabilidades de evento son extrapolaciones fuera del dominio de entrenamiento. El diseño acepta esta limitación conscientemente —documentada en §7.7.1— porque el objetivo del prototipo es demostrar la viabilidad técnica del flujo, no producir un score clínicamente calibrado para poblaciones generales.</w:t>
      </w:r>
    </w:p>
    <w:p>
      <w:pPr>
        <w:spacing w:after="160" w:before="0"/>
      </w:pPr>
      <w:r>
        <w:rPr>
          <w:rFonts w:ascii="Arial" w:cs="Arial" w:eastAsia="Arial" w:hAnsi="Arial"/>
          <w:b/>
          <w:bCs/>
          <w:sz w:val="22"/>
          <w:szCs w:val="22"/>
        </w:rPr>
        <w:t xml:space="preserve">Recómputo del ARI en tiempo real.</w:t>
      </w:r>
      <w:r>
        <w:rPr>
          <w:rFonts w:ascii="Arial" w:cs="Arial" w:eastAsia="Arial" w:hAnsi="Arial"/>
          <w:sz w:val="22"/>
          <w:szCs w:val="22"/>
        </w:rPr>
        <w:t xml:space="preserve"> El ARI de cada evento requiere conocer el percentil de la ganancia cardíaca y de movimiento dentro del corpus completo de 85.277 EDOs. En modo batch, ese percentil se calcula una sola vez sobre el corpus. En la app, se resuelve cargando los arrays ordenados del corpus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y usando búsqueda binaria (</w:t>
      </w:r>
      <w:r>
        <w:rPr>
          <w:rFonts w:ascii="Courier New" w:cs="Courier New" w:eastAsia="Courier New" w:hAnsi="Courier New"/>
          <w:color w:val="2D6A4F"/>
          <w:sz w:val="20"/>
          <w:szCs w:val="20"/>
        </w:rPr>
        <w:t xml:space="preserve">np.searchsorted</w:t>
      </w:r>
      <w:r>
        <w:rPr>
          <w:rFonts w:ascii="Arial" w:cs="Arial" w:eastAsia="Arial" w:hAnsi="Arial"/>
          <w:sz w:val="22"/>
          <w:szCs w:val="22"/>
        </w:rPr>
        <w:t xml:space="preserve">). Esto garantiza que el ARI calculado en la app sea estrictamente equivalente al calculado en los cuadernos de investigación, sin necesidad de distribuir el corpus completo junto con la aplicación.</w:t>
      </w:r>
    </w:p>
    <w:p>
      <w:pPr>
        <w:spacing w:after="160" w:before="0"/>
      </w:pPr>
      <w:r>
        <w:rPr>
          <w:rFonts w:ascii="Arial" w:cs="Arial" w:eastAsia="Arial" w:hAnsi="Arial"/>
          <w:b/>
          <w:bCs/>
          <w:sz w:val="22"/>
          <w:szCs w:val="22"/>
        </w:rPr>
        <w:t xml:space="preserve">Estructura del resultado y separación de capas.</w:t>
      </w:r>
      <w:r>
        <w:rPr>
          <w:rFonts w:ascii="Arial" w:cs="Arial" w:eastAsia="Arial" w:hAnsi="Arial"/>
          <w:sz w:val="22"/>
          <w:szCs w:val="22"/>
        </w:rPr>
        <w:t xml:space="preserve"> El pipeline devuelve un diccionario único que agrega todos los niveles de análisis (señal, eventos, estados, features nocturnas, predicciones). Esta elección —en lugar de múltiples llamadas a funciones desde la capa de presentación— garantiza que el cacheo de Streamlit opere sobre la unidad de análisis natural (la noche completa) y que la interfaz no pueda quedar en un estado inconsistente donde, por ejemplo, los estados PAC mostrados correspondan a un procesamiento diferente al de los eventos mostrados.</w:t>
      </w:r>
    </w:p>
    <w:p>
      <w:pPr>
        <w:spacing w:after="160" w:before="0"/>
      </w:pPr>
      <w:r>
        <w:rPr>
          <w:rFonts w:ascii="Arial" w:cs="Arial" w:eastAsia="Arial" w:hAnsi="Arial"/>
          <w:sz w:val="22"/>
          <w:szCs w:val="22"/>
        </w:rPr>
        <w:t xml:space="preserve">En términos de métricas derivadas, la app calcula el </w:t>
      </w:r>
      <w:r>
        <w:rPr>
          <w:rFonts w:ascii="Arial" w:cs="Arial" w:eastAsia="Arial" w:hAnsi="Arial"/>
          <w:b/>
          <w:bCs/>
          <w:sz w:val="22"/>
          <w:szCs w:val="22"/>
        </w:rPr>
        <w:t xml:space="preserve">ODI₂ estimado</w:t>
      </w:r>
      <w:r>
        <w:rPr>
          <w:rFonts w:ascii="Arial" w:cs="Arial" w:eastAsia="Arial" w:hAnsi="Arial"/>
          <w:sz w:val="22"/>
          <w:szCs w:val="22"/>
        </w:rPr>
        <w:t xml:space="preserve"> como </w:t>
      </w:r>
      <w:r>
        <w:rPr>
          <w:rFonts w:ascii="Courier New" w:cs="Courier New" w:eastAsia="Courier New" w:hAnsi="Courier New"/>
          <w:color w:val="2D6A4F"/>
          <w:sz w:val="20"/>
          <w:szCs w:val="20"/>
        </w:rPr>
        <w:t xml:space="preserve">n_events / (duration_s / 3600)</w:t>
      </w:r>
      <w:r>
        <w:rPr>
          <w:rFonts w:ascii="Arial" w:cs="Arial" w:eastAsia="Arial" w:hAnsi="Arial"/>
          <w:sz w:val="22"/>
          <w:szCs w:val="22"/>
        </w:rPr>
        <w:t xml:space="preserve">. La denominación ODI₂ distingue explícitamente este índice del ODI3 clínico (umbral ≥3pp): el pipeline PAC_v3 detecta EDOs con umbral permisivo ≥2pp, por lo que el índice de frecuencia resultante no es comparable directamente con el ODI3 de la PSG o del propio dispositivo SOMNI 6000. El T90 se calcula directamente sobre la señal limpia como proporción de muestras con SpO₂ &lt; 90%, lo que lo hace equivalente al T90 calculado en el análisis batch.</w:t>
      </w:r>
    </w:p>
    <w:p>
      <w:pPr>
        <w:pStyle w:val="Heading1"/>
        <w:spacing w:after="120" w:before="360"/>
      </w:pPr>
      <w:r>
        <w:rPr>
          <w:rFonts w:ascii="Arial" w:cs="Arial" w:eastAsia="Arial" w:hAnsi="Arial"/>
          <w:b/>
          <w:bCs/>
          <w:color w:val="1E3A5F"/>
          <w:sz w:val="28"/>
          <w:szCs w:val="28"/>
        </w:rPr>
        <w:t xml:space="preserve">7.4 Interfaz de usuario: cinco pestañas</w:t>
      </w:r>
    </w:p>
    <w:p>
      <w:pPr>
        <w:spacing w:after="160" w:before="0"/>
      </w:pPr>
      <w:r>
        <w:rPr>
          <w:rFonts w:ascii="Arial" w:cs="Arial" w:eastAsia="Arial" w:hAnsi="Arial"/>
          <w:sz w:val="22"/>
          <w:szCs w:val="22"/>
        </w:rPr>
        <w:t xml:space="preserve">La interfaz se organiza en cinco pestañas accesibles desde la barra de navegación superior: 📊 Resumen, 🔵 Eventos, 🔷 Estados PAC, 📈 Historia, 📋 Informe IA. El panel lateral expone los controles globales: cargador de archivo Excel, botón de invalidación de caché y —cuando existe un informe generado— el botón de descarga del informe Word. Un encabezado de paciente, siempre visible sobre las pestañas, muestra los datos de identificación y el Risk Score PAC con código de color semafórico (verde / naranja / rojo).</w:t>
      </w:r>
    </w:p>
    <w:p w14:paraId="1E100002" w14:textId="77777777" w:rsidR="00220889" w:rsidRDefault="00000000">
      <w:pPr>
        <w:spacing w:after="80" w:before="80"/>
        <w:jc w:val="both"/>
      </w:pPr>
      <w:r>
        <w:rPr>
          <w:rFonts w:ascii="Arial" w:cs="Arial" w:eastAsia="Arial" w:hAnsi="Arial"/>
          <w:i/>
          <w:iCs/>
          <w:sz w:val="20"/>
          <w:szCs w:val="20"/>
        </w:rPr>
        <w:t>► Figura complementaria en Anexo Figuras: Fig. 7.2 (Vista general de la PAC App con examen cargado).</w:t>
      </w:r>
    </w:p>
    <w:p>
      <w:pPr>
        <w:pStyle w:val="Heading2"/>
        <w:spacing w:after="80" w:before="240"/>
      </w:pPr>
      <w:r>
        <w:rPr>
          <w:rFonts w:ascii="Arial" w:cs="Arial" w:eastAsia="Arial" w:hAnsi="Arial"/>
          <w:b/>
          <w:bCs/>
          <w:color w:val="1E3A5F"/>
          <w:sz w:val="24"/>
          <w:szCs w:val="24"/>
        </w:rPr>
        <w:t xml:space="preserve">7.4.1 Pestaña "Resumen"</w:t>
      </w:r>
    </w:p>
    <w:p>
      <w:pPr>
        <w:spacing w:after="160" w:before="0"/>
      </w:pPr>
      <w:r>
        <w:rPr>
          <w:rFonts w:ascii="Arial" w:cs="Arial" w:eastAsia="Arial" w:hAnsi="Arial"/>
          <w:sz w:val="22"/>
          <w:szCs w:val="22"/>
        </w:rPr>
        <w:t xml:space="preserve">La pestaña de resumen contiene dos sub-pestañas: </w:t>
      </w:r>
      <w:r>
        <w:rPr>
          <w:rFonts w:ascii="Arial" w:cs="Arial" w:eastAsia="Arial" w:hAnsi="Arial"/>
          <w:b/>
          <w:bCs/>
          <w:sz w:val="22"/>
          <w:szCs w:val="22"/>
        </w:rPr>
        <w:t xml:space="preserve">Resumen clínico</w:t>
      </w:r>
      <w:r>
        <w:rPr>
          <w:rFonts w:ascii="Arial" w:cs="Arial" w:eastAsia="Arial" w:hAnsi="Arial"/>
          <w:sz w:val="22"/>
          <w:szCs w:val="22"/>
        </w:rPr>
        <w:t xml:space="preserve"> y </w:t>
      </w:r>
      <w:r>
        <w:rPr>
          <w:rFonts w:ascii="Arial" w:cs="Arial" w:eastAsia="Arial" w:hAnsi="Arial"/>
          <w:b/>
          <w:bCs/>
          <w:sz w:val="22"/>
          <w:szCs w:val="22"/>
        </w:rPr>
        <w:t xml:space="preserve">Señal SpO₂</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Resumen clínico</w:t>
      </w:r>
      <w:r>
        <w:rPr>
          <w:rFonts w:ascii="Arial" w:cs="Arial" w:eastAsia="Arial" w:hAnsi="Arial"/>
          <w:sz w:val="22"/>
          <w:szCs w:val="22"/>
        </w:rPr>
        <w:t xml:space="preserve"> ofrece una vista de conjunto de los hallazgos más relevantes de la noche. Su elemento central es el Risk Score PAC en un indicador tipo velocímetro (</w:t>
      </w:r>
      <w:r>
        <w:rPr>
          <w:rFonts w:ascii="Courier New" w:cs="Courier New" w:eastAsia="Courier New" w:hAnsi="Courier New"/>
          <w:color w:val="2D6A4F"/>
          <w:sz w:val="20"/>
          <w:szCs w:val="20"/>
        </w:rPr>
        <w:t xml:space="preserve">go.Indicator(mode="gauge+number")</w:t>
      </w:r>
      <w:r>
        <w:rPr>
          <w:rFonts w:ascii="Arial" w:cs="Arial" w:eastAsia="Arial" w:hAnsi="Arial"/>
          <w:sz w:val="22"/>
          <w:szCs w:val="22"/>
        </w:rPr>
        <w:t xml:space="preserve">), con rango 0–100 dividido en tres zonas coloreadas (verde 0–30, amarillo 30–60, rojo 60–100), complementado con la trayectoria nocturna asignada (Estable-Protector, Carga Intermedia o Carga Hipóxica Alta) en un recuadro con fondo coloreado.</w:t>
      </w:r>
    </w:p>
    <w:p>
      <w:pPr>
        <w:spacing w:after="160" w:before="0"/>
      </w:pPr>
      <w:r>
        <w:rPr>
          <w:rFonts w:ascii="Arial" w:cs="Arial" w:eastAsia="Arial" w:hAnsi="Arial"/>
          <w:sz w:val="22"/>
          <w:szCs w:val="22"/>
        </w:rPr>
        <w:t xml:space="preserve">Seis métricas clave se despliegan en tarjetas: EDOs detectados; eventos severos C4+C5; ODI₂ estimado (umbral permisivo ≥2pp, denominado ODI₂ para distinguirlo del ODI3 clínico); P(noche alto riesgo) del modelo de regresión logística; P̄(evento severo) del modelo LightGBM; y T90 calculado sobre la señal limpia.</w:t>
      </w:r>
    </w:p>
    <w:p>
      <w:pPr>
        <w:spacing w:after="60" w:before="200"/>
      </w:pPr>
      <w:r>
        <w:rPr>
          <w:rFonts w:ascii="Arial" w:cs="Arial" w:eastAsia="Arial" w:hAnsi="Arial"/>
          <w:b/>
          <w:bCs/>
          <w:color w:val="1E3A5F"/>
          <w:sz w:val="22"/>
          <w:szCs w:val="22"/>
        </w:rPr>
        <w:t xml:space="preserve">Fórmula y lógica del Risk Score</w:t>
      </w:r>
    </w:p>
    <w:p>
      <w:pPr>
        <w:spacing w:after="160" w:before="0"/>
      </w:pPr>
      <w:r>
        <w:rPr>
          <w:rFonts w:ascii="Arial" w:cs="Arial" w:eastAsia="Arial" w:hAnsi="Arial"/>
          <w:sz w:val="22"/>
          <w:szCs w:val="22"/>
        </w:rPr>
        <w:t xml:space="preserve">El Risk Score PAC sigue la fórmula heurística desarrollada en Cap06 §6.10:</w:t>
      </w:r>
    </w:p>
    <w:p>
      <w:pPr>
        <w:spacing w:after="160" w:before="0"/>
      </w:pPr>
      <w:r>
        <w:rPr>
          <w:rFonts w:ascii="Arial" w:cs="Arial" w:eastAsia="Arial" w:hAnsi="Arial"/>
          <w:b/>
          <w:bCs/>
          <w:sz w:val="22"/>
          <w:szCs w:val="22"/>
        </w:rPr>
        <w:t xml:space="preserve">RS = 0.40 × P̄(evento severo) + 0.60 × P(noche alto riesgo)</w:t>
      </w:r>
    </w:p>
    <w:p>
      <w:pPr>
        <w:spacing w:after="160" w:before="0"/>
      </w:pPr>
      <w:r>
        <w:rPr>
          <w:rFonts w:ascii="Arial" w:cs="Arial" w:eastAsia="Arial" w:hAnsi="Arial"/>
          <w:sz w:val="22"/>
          <w:szCs w:val="22"/>
        </w:rPr>
        <w:t xml:space="preserve">donde P(noche alto riesgo) es la probabilidad estimada por el modelo de regresión logística entrenado sobre las features PAC nocturnas (fracciones de estados M, entropía, transiciones, coupling index) y P̄(evento severo) es la probabilidad media predicha por LightGBM sobre todos los eventos de la noche. El peso dominante (60%) corresponde al modelo logístico nocturno, que captura el </w:t>
      </w:r>
      <w:r>
        <w:rPr>
          <w:rFonts w:ascii="Arial" w:cs="Arial" w:eastAsia="Arial" w:hAnsi="Arial"/>
          <w:i/>
          <w:iCs/>
          <w:sz w:val="22"/>
          <w:szCs w:val="22"/>
        </w:rPr>
        <w:t xml:space="preserve">contexto fisiológico global</w:t>
      </w:r>
      <w:r>
        <w:rPr>
          <w:rFonts w:ascii="Arial" w:cs="Arial" w:eastAsia="Arial" w:hAnsi="Arial"/>
          <w:sz w:val="22"/>
          <w:szCs w:val="22"/>
        </w:rPr>
        <w:t xml:space="preserve"> de la noche; el peso secundario (40%) corresponde a la frecuencia de morfotipos C4/C5.</w:t>
      </w:r>
    </w:p>
    <w:p>
      <w:pPr>
        <w:spacing w:after="160" w:before="0"/>
      </w:pPr>
      <w:r>
        <w:rPr>
          <w:rFonts w:ascii="Arial" w:cs="Arial" w:eastAsia="Arial" w:hAnsi="Arial"/>
          <w:sz w:val="22"/>
          <w:szCs w:val="22"/>
        </w:rPr>
        <w:t xml:space="preserve">Esta ponderación tiene una implicación interpretativa importante: </w:t>
      </w:r>
      <w:r>
        <w:rPr>
          <w:rFonts w:ascii="Arial" w:cs="Arial" w:eastAsia="Arial" w:hAnsi="Arial"/>
          <w:b/>
          <w:bCs/>
          <w:sz w:val="22"/>
          <w:szCs w:val="22"/>
        </w:rPr>
        <w:t xml:space="preserve">el Risk Score puede ser moderado (30–60) aunque la noche no registre eventos C4/C5.</w:t>
      </w:r>
      <w:r>
        <w:rPr>
          <w:rFonts w:ascii="Arial" w:cs="Arial" w:eastAsia="Arial" w:hAnsi="Arial"/>
          <w:sz w:val="22"/>
          <w:szCs w:val="22"/>
        </w:rPr>
        <w:t xml:space="preserve"> Si el perfil de estados PAC —especialmente la distribución de fracciones M, la entropía y el número de transiciones— sugiere un contexto fisiológico de riesgo moderado, el modelo logístico asigna P(noche alto riesgo) &gt; 0.3, lo que por sí solo aporta al menos 18 puntos al score. A esto se suma que una noche con alta frecuencia de eventos C1/C2 (por ejemplo, ODI₂ = 18 ev/h) genera carga autonómica acumulada que el modelo detecta en las features nocturnas, aunque ningún evento individual alcance morfotipo severo.</w:t>
      </w:r>
    </w:p>
    <w:p>
      <w:pPr>
        <w:spacing w:after="160" w:before="0"/>
      </w:pPr>
      <w:r>
        <w:rPr>
          <w:rFonts w:ascii="Arial" w:cs="Arial" w:eastAsia="Arial" w:hAnsi="Arial"/>
          <w:sz w:val="22"/>
          <w:szCs w:val="22"/>
        </w:rPr>
        <w:t xml:space="preserve">En términos prácticos, esto significa que el Risk Score no es equivalente a "porcentaje de eventos C4/C5" ni a "gravedad de los morfotipos". Es una estimación del riesgo fisiológico nocturno integrado que pondera tanto la severidad de los eventos individuales como el contexto dinámico global en que ocurren. Para su interpretación correcta, la interfaz despliega junto al gauge las métricas que explican su valor: P(noche alto riesgo), P̄(evento severo), trayectoria nocturna y CI_M. La tabla de referencia rápida de §7.9 consolida los rangos de todas estas métricas.</w:t>
      </w:r>
    </w:p>
    <w:p>
      <w:pPr>
        <w:spacing w:after="160" w:before="0"/>
      </w:pPr>
      <w:r>
        <w:rPr>
          <w:rFonts w:ascii="Arial" w:cs="Arial" w:eastAsia="Arial" w:hAnsi="Arial"/>
          <w:sz w:val="22"/>
          <w:szCs w:val="22"/>
        </w:rPr>
        <w:t xml:space="preserve">Tres mini-tarjetas adicionales exponen ci_m, ARI medio y porcentaje de eventos severos, con subtítulos de interpretación dinámica. El ARI por evento se recalcula en tiempo real usando los arrays de percentiles del corpus desde models/, reproduciendo exactamente la fórmula canónica del Cap04 §4.3. Un bloque de alerta de inconsistencia se activa —con advertencia visual amarilla— cuando el porcentaje de eventos severos supera el 10% y el Risk Score es inferior a 60, o cuando p_night es inferior a 0.1, señalando situaciones en que los modelos predictivos podrían estar subestimando la carga fenotípica real.</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Señal SpO₂</w:t>
      </w:r>
      <w:r>
        <w:rPr>
          <w:rFonts w:ascii="Arial" w:cs="Arial" w:eastAsia="Arial" w:hAnsi="Arial"/>
          <w:sz w:val="22"/>
          <w:szCs w:val="22"/>
        </w:rPr>
        <w:t xml:space="preserve"> despliega la señal nocturna completa, submuestreada a un máximo de 5.000 puntos, con sombreado de eventos coloreado por morfotipo C1–C5 (opacidad 0.28 para C4/C5, 0.11 para C1–C3) y una línea de referencia punteada en 90% (umbral T90).</w:t>
      </w:r>
    </w:p>
    <w:p w14:paraId="1E100003" w14:textId="77777777" w:rsidR="00220889" w:rsidRDefault="00000000">
      <w:pPr>
        <w:spacing w:after="80" w:before="80"/>
        <w:jc w:val="both"/>
      </w:pPr>
      <w:r>
        <w:rPr>
          <w:rFonts w:ascii="Arial" w:cs="Arial" w:eastAsia="Arial" w:hAnsi="Arial"/>
          <w:i/>
          <w:iCs/>
          <w:sz w:val="20"/>
          <w:szCs w:val="20"/>
        </w:rPr>
        <w:t>► Figura complementaria en Anexo Figuras: Fig. 7.3 (Sub-pestaña Resumen clínico).</w:t>
      </w:r>
    </w:p>
    <w:p>
      <w:pPr>
        <w:pStyle w:val="Heading2"/>
        <w:spacing w:after="80" w:before="240"/>
      </w:pPr>
      <w:r>
        <w:rPr>
          <w:rFonts w:ascii="Arial" w:cs="Arial" w:eastAsia="Arial" w:hAnsi="Arial"/>
          <w:b/>
          <w:bCs/>
          <w:color w:val="1E3A5F"/>
          <w:sz w:val="24"/>
          <w:szCs w:val="24"/>
        </w:rPr>
        <w:t xml:space="preserve">7.4.2 Pestaña "Eventos y Morfotipos"</w:t>
      </w:r>
    </w:p>
    <w:p>
      <w:pPr>
        <w:spacing w:after="160" w:before="0"/>
      </w:pPr>
      <w:r>
        <w:rPr>
          <w:rFonts w:ascii="Arial" w:cs="Arial" w:eastAsia="Arial" w:hAnsi="Arial"/>
          <w:sz w:val="22"/>
          <w:szCs w:val="22"/>
        </w:rPr>
        <w:t xml:space="preserve">Esta pestaña expone el análisis de nivel evento del Cap04 en tres sub-pestañas: </w:t>
      </w:r>
      <w:r>
        <w:rPr>
          <w:rFonts w:ascii="Arial" w:cs="Arial" w:eastAsia="Arial" w:hAnsi="Arial"/>
          <w:b/>
          <w:bCs/>
          <w:sz w:val="22"/>
          <w:szCs w:val="22"/>
        </w:rPr>
        <w:t xml:space="preserve">Distribución morfotipos</w:t>
      </w:r>
      <w:r>
        <w:rPr>
          <w:rFonts w:ascii="Arial" w:cs="Arial" w:eastAsia="Arial" w:hAnsi="Arial"/>
          <w:sz w:val="22"/>
          <w:szCs w:val="22"/>
        </w:rPr>
        <w:t xml:space="preserve">, </w:t>
      </w:r>
      <w:r>
        <w:rPr>
          <w:rFonts w:ascii="Arial" w:cs="Arial" w:eastAsia="Arial" w:hAnsi="Arial"/>
          <w:b/>
          <w:bCs/>
          <w:sz w:val="22"/>
          <w:szCs w:val="22"/>
        </w:rPr>
        <w:t xml:space="preserve">Timeline de eventos</w:t>
      </w:r>
      <w:r>
        <w:rPr>
          <w:rFonts w:ascii="Arial" w:cs="Arial" w:eastAsia="Arial" w:hAnsi="Arial"/>
          <w:sz w:val="22"/>
          <w:szCs w:val="22"/>
        </w:rPr>
        <w:t xml:space="preserve"> y </w:t>
      </w:r>
      <w:r>
        <w:rPr>
          <w:rFonts w:ascii="Arial" w:cs="Arial" w:eastAsia="Arial" w:hAnsi="Arial"/>
          <w:b/>
          <w:bCs/>
          <w:sz w:val="22"/>
          <w:szCs w:val="22"/>
        </w:rPr>
        <w:t xml:space="preserve">P(severo) por evento</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 morfotipos</w:t>
      </w:r>
      <w:r>
        <w:rPr>
          <w:rFonts w:ascii="Arial" w:cs="Arial" w:eastAsia="Arial" w:hAnsi="Arial"/>
          <w:sz w:val="22"/>
          <w:szCs w:val="22"/>
        </w:rPr>
        <w:t xml:space="preserve"> presenta un gráfico de anillo de la distribución C1–C5 y un box plot de la profundidad de caída de SpO₂ por morfotipo, ilustrando la progresión de severidad caracterizada en Cap04 §4.2. La sub-pestaña </w:t>
      </w:r>
      <w:r>
        <w:rPr>
          <w:rFonts w:ascii="Arial" w:cs="Arial" w:eastAsia="Arial" w:hAnsi="Arial"/>
          <w:b/>
          <w:bCs/>
          <w:sz w:val="22"/>
          <w:szCs w:val="22"/>
        </w:rPr>
        <w:t xml:space="preserve">Timeline de eventos</w:t>
      </w:r>
      <w:r>
        <w:rPr>
          <w:rFonts w:ascii="Arial" w:cs="Arial" w:eastAsia="Arial" w:hAnsi="Arial"/>
          <w:sz w:val="22"/>
          <w:szCs w:val="22"/>
        </w:rPr>
        <w:t xml:space="preserve"> muestra un scatter plot donde el color codifica el morfotipo, el tamaño del marcador es proporcional a la duración del evento, y el símbolo (círculo vs. diamante) distingue si el evento fue predicho como severo.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P(severo) por evento</w:t>
      </w:r>
      <w:r>
        <w:rPr>
          <w:rFonts w:ascii="Arial" w:cs="Arial" w:eastAsia="Arial" w:hAnsi="Arial"/>
          <w:sz w:val="22"/>
          <w:szCs w:val="22"/>
        </w:rPr>
        <w:t xml:space="preserve"> muestra un gráfico de barras con la probabilidad predicha por LightGBM para cada evento individual, con una línea de umbral en el punto de corte de Youden optimizado sobre el conjunto de validación LOPO-CV (0.386). Las barras se colorean por morfotipo del evento. Un expander al pie de la sub-pestaña despliega la tabla completa de atributos de todos los EDOs, incluyendo ODI₂ individual, ARI y estado M activo.</w:t>
      </w:r>
    </w:p>
    <w:p>
      <w:pPr>
        <w:spacing w:after="60" w:before="200"/>
      </w:pPr>
      <w:r>
        <w:rPr>
          <w:rFonts w:ascii="Arial" w:cs="Arial" w:eastAsia="Arial" w:hAnsi="Arial"/>
          <w:b/>
          <w:bCs/>
          <w:color w:val="1E3A5F"/>
          <w:sz w:val="22"/>
          <w:szCs w:val="22"/>
        </w:rPr>
        <w:t xml:space="preserve">Interpretación de la distinción color / altura</w:t>
      </w:r>
    </w:p>
    <w:p>
      <w:pPr>
        <w:spacing w:after="160" w:before="0"/>
      </w:pPr>
      <w:r>
        <w:rPr>
          <w:rFonts w:ascii="Arial" w:cs="Arial" w:eastAsia="Arial" w:hAnsi="Arial"/>
          <w:sz w:val="22"/>
          <w:szCs w:val="22"/>
        </w:rPr>
        <w:t xml:space="preserve">Una característica conceptualmente importante de este gráfico es que el </w:t>
      </w:r>
      <w:r>
        <w:rPr>
          <w:rFonts w:ascii="Arial" w:cs="Arial" w:eastAsia="Arial" w:hAnsi="Arial"/>
          <w:b/>
          <w:bCs/>
          <w:sz w:val="22"/>
          <w:szCs w:val="22"/>
        </w:rPr>
        <w:t xml:space="preserve">color</w:t>
      </w:r>
      <w:r>
        <w:rPr>
          <w:rFonts w:ascii="Arial" w:cs="Arial" w:eastAsia="Arial" w:hAnsi="Arial"/>
          <w:sz w:val="22"/>
          <w:szCs w:val="22"/>
        </w:rPr>
        <w:t xml:space="preserve"> y la </w:t>
      </w:r>
      <w:r>
        <w:rPr>
          <w:rFonts w:ascii="Arial" w:cs="Arial" w:eastAsia="Arial" w:hAnsi="Arial"/>
          <w:b/>
          <w:bCs/>
          <w:sz w:val="22"/>
          <w:szCs w:val="22"/>
        </w:rPr>
        <w:t xml:space="preserve">altura</w:t>
      </w:r>
      <w:r>
        <w:rPr>
          <w:rFonts w:ascii="Arial" w:cs="Arial" w:eastAsia="Arial" w:hAnsi="Arial"/>
          <w:sz w:val="22"/>
          <w:szCs w:val="22"/>
        </w:rPr>
        <w:t xml:space="preserve"> de cada barra miden cosas distintas. El color refleja el morfotipo </w:t>
      </w:r>
      <w:r>
        <w:rPr>
          <w:rFonts w:ascii="Arial" w:cs="Arial" w:eastAsia="Arial" w:hAnsi="Arial"/>
          <w:i/>
          <w:iCs/>
          <w:sz w:val="22"/>
          <w:szCs w:val="22"/>
        </w:rPr>
        <w:t xml:space="preserve">real</w:t>
      </w:r>
      <w:r>
        <w:rPr>
          <w:rFonts w:ascii="Arial" w:cs="Arial" w:eastAsia="Arial" w:hAnsi="Arial"/>
          <w:sz w:val="22"/>
          <w:szCs w:val="22"/>
        </w:rPr>
        <w:t xml:space="preserve"> del evento —lo que el evento fue, determinado post-hoc por el clasificador K-means sobre la curva SpO₂—. La altura refleja lo que el modelo LightGBM </w:t>
      </w:r>
      <w:r>
        <w:rPr>
          <w:rFonts w:ascii="Arial" w:cs="Arial" w:eastAsia="Arial" w:hAnsi="Arial"/>
          <w:i/>
          <w:iCs/>
          <w:sz w:val="22"/>
          <w:szCs w:val="22"/>
        </w:rPr>
        <w:t xml:space="preserve">predijo</w:t>
      </w:r>
      <w:r>
        <w:rPr>
          <w:rFonts w:ascii="Arial" w:cs="Arial" w:eastAsia="Arial" w:hAnsi="Arial"/>
          <w:sz w:val="22"/>
          <w:szCs w:val="22"/>
        </w:rPr>
        <w:t xml:space="preserve"> que sería ese evento, basado exclusivamente en features de contexto calculadas en el momento del evento: el estado M activo, la proporción de eventos severos acumulados hasta ese punto de la noche, la media de morfotipos de los últimos 30 eventos y el coupling index acumulado. El morfotipo del evento no es una variable de entrada del modelo —hacerlo constituiría una fuga de información, dado que el morfotipo es exactamente la variable objetivo de la predicción.</w:t>
      </w:r>
    </w:p>
    <w:p>
      <w:pPr>
        <w:spacing w:after="160" w:before="0"/>
      </w:pPr>
      <w:r>
        <w:rPr>
          <w:rFonts w:ascii="Arial" w:cs="Arial" w:eastAsia="Arial" w:hAnsi="Arial"/>
          <w:sz w:val="22"/>
          <w:szCs w:val="22"/>
        </w:rPr>
        <w:t xml:space="preserve">Esta distinción tiene una implicación clínica directa: una barra azul (C1, subcrítico) con altura elevada —superior al umbral de Youden— no es un error del gráfico ni una inconsistencia del modelo. Significa que el evento ocurrió en un contexto fisiológico típico de eventos graves pero resultó morfológicamente leve. El organismo estaba en una configuración de riesgo que no llegó a concretarse en un evento severo en esa instancia.</w:t>
      </w:r>
    </w:p>
    <w:p>
      <w:pPr>
        <w:spacing w:after="160" w:before="0"/>
      </w:pPr>
      <w:r>
        <w:rPr>
          <w:rFonts w:ascii="Arial" w:cs="Arial" w:eastAsia="Arial" w:hAnsi="Arial"/>
          <w:sz w:val="22"/>
          <w:szCs w:val="22"/>
        </w:rPr>
        <w:t xml:space="preserve">La acumulación de barras altas en morfotipos C1/C2 es una señal de </w:t>
      </w:r>
      <w:r>
        <w:rPr>
          <w:rFonts w:ascii="Arial" w:cs="Arial" w:eastAsia="Arial" w:hAnsi="Arial"/>
          <w:b/>
          <w:bCs/>
          <w:sz w:val="22"/>
          <w:szCs w:val="22"/>
        </w:rPr>
        <w:t xml:space="preserve">riesgo contextual oculto</w:t>
      </w:r>
      <w:r>
        <w:rPr>
          <w:rFonts w:ascii="Arial" w:cs="Arial" w:eastAsia="Arial" w:hAnsi="Arial"/>
          <w:sz w:val="22"/>
          <w:szCs w:val="22"/>
        </w:rPr>
        <w:t xml:space="preserve">: la noche presenta alto riesgo fisiológico sistémico aunque los morfotipos individuales sean leves. Este patrón no es capturado por el ODI ni por el porcentaje de eventos C4/C5, y representa una de las aportaciones interpretativas distintivas del sistema PAC respecto a los índices clásicos. La interfaz detecta este patrón automáticamente e informa al especialista cuántos eventos leves ocurrieron en contexto de riesgo alto, junto con su distribución temporal en la noche.</w:t>
      </w:r>
    </w:p>
    <w:p>
      <w:pPr>
        <w:spacing w:after="60" w:before="200"/>
      </w:pPr>
      <w:r>
        <w:rPr>
          <w:rFonts w:ascii="Arial" w:cs="Arial" w:eastAsia="Arial" w:hAnsi="Arial"/>
          <w:b/>
          <w:bCs/>
          <w:color w:val="1E3A5F"/>
          <w:sz w:val="22"/>
          <w:szCs w:val="22"/>
        </w:rPr>
        <w:t>Detección de fragmentación de eventos</w:t>
      </w:r>
    </w:p>
    <w:p>
      <w:pPr>
        <w:spacing w:after="160" w:before="0"/>
      </w:pPr>
      <w:r>
        <w:rPr>
          <w:rFonts w:ascii="Arial" w:cs="Arial" w:eastAsia="Arial" w:hAnsi="Arial"/>
          <w:sz w:val="22"/>
          <w:szCs w:val="22"/>
        </w:rPr>
        <w:t xml:space="preserve">La sub-pestaña P(severo) implementa también la detección automática de </w:t>
      </w:r>
      <w:r>
        <w:rPr>
          <w:rFonts w:ascii="Arial" w:cs="Arial" w:eastAsia="Arial" w:hAnsi="Arial"/>
          <w:b/>
          <w:bCs/>
          <w:sz w:val="22"/>
          <w:szCs w:val="22"/>
        </w:rPr>
        <w:t>fragmentación de eventos</w:t>
      </w:r>
      <w:r>
        <w:rPr>
          <w:rFonts w:ascii="Arial" w:cs="Arial" w:eastAsia="Arial" w:hAnsi="Arial"/>
          <w:sz w:val="22"/>
          <w:szCs w:val="22"/>
        </w:rPr>
        <w:t xml:space="preserve">, un fenómeno que emerge de la interacción entre la ventana de baseline móvil (120 s) y el intervalo inter-evento mediano (82 s). Cuando un evento severo (C3–C5) es seguido por otro evento dentro de los 90 s posteriores, la baseline local del segundo evento ya se encuentra descendida respecto al nivel de reposo real del paciente; en consecuencia, su caída relativa queda subestimada y tiende a clasificarse como C1 o C2, aunque en términos absolutos el paciente continúe hipóxico. Este fenómeno introduce dos sesgos interpretativos: el ODI sobreestima el número de eventos independientes, y el ARI del C1/C2 post-severo puede ser artificialmente bajo porque el sistema autónomo ya había respondido al evento precedente.</w:t>
      </w:r>
    </w:p>
    <w:p>
      <w:pPr>
        <w:spacing w:after="160" w:before="0"/>
      </w:pPr>
      <w:r>
        <w:rPr>
          <w:rFonts w:ascii="Arial" w:cs="Arial" w:eastAsia="Arial" w:hAnsi="Arial"/>
          <w:sz w:val="22"/>
          <w:szCs w:val="22"/>
        </w:rPr>
        <w:t xml:space="preserve">La interfaz cuantifica este patrón buscando pares donde un evento C1/C2 ocurre dentro de los 90 s posteriores al fin de un evento C3, C4 o C5, e informa el número de eventos candidatos a fragmentación en el texto interpretativo del gráfico. Esta alerta orienta al especialista a considerar la </w:t>
      </w:r>
      <w:r>
        <w:rPr>
          <w:rFonts w:ascii="Arial" w:cs="Arial" w:eastAsia="Arial" w:hAnsi="Arial"/>
          <w:i/>
          <w:iCs/>
          <w:sz w:val="22"/>
          <w:szCs w:val="22"/>
        </w:rPr>
        <w:t>hypoxic burden</w:t>
      </w:r>
      <w:r>
        <w:rPr>
          <w:rFonts w:ascii="Arial" w:cs="Arial" w:eastAsia="Arial" w:hAnsi="Arial"/>
          <w:sz w:val="22"/>
          <w:szCs w:val="22"/>
        </w:rPr>
        <w:t xml:space="preserve"> (área bajo la curva SpO₂) como complemento del ODI en noches con alta densidad de eventos consecutivos, ya que integra la carga hipóxica real con independencia de cómo el algoritmo divida los episodios. La base metodológica de este fenómeno se discute en §4.2.4.</w:t>
      </w:r>
    </w:p>
    <w:p>
      <w:pPr>
        <w:spacing w:after="60" w:before="200"/>
      </w:pPr>
      <w:r>
        <w:rPr>
          <w:rFonts w:ascii="Arial" w:cs="Arial" w:eastAsia="Arial" w:hAnsi="Arial"/>
          <w:b/>
          <w:bCs/>
          <w:color w:val="1E3A5F"/>
          <w:sz w:val="22"/>
          <w:szCs w:val="22"/>
        </w:rPr>
        <w:t>Clusters de P(severo) alta en morfotipos leves: firma de episodio fragmentado</w:t>
      </w:r>
    </w:p>
    <w:p>
      <w:pPr>
        <w:spacing w:after="160" w:before="0"/>
      </w:pPr>
      <w:r>
        <w:rPr>
          <w:rFonts w:ascii="Arial" w:cs="Arial" w:eastAsia="Arial" w:hAnsi="Arial"/>
          <w:sz w:val="22"/>
          <w:szCs w:val="22"/>
        </w:rPr>
        <w:t xml:space="preserve">La combinación de los dos fenómenos anteriores —fragmentación morfológica y detección automática— genera un patrón visual reconocible en el gráfico P(severo): cuando un episodio de hipoxemia prolongado es dividido por el algoritmo en múltiples eventos cortos consecutivos, todos esos fragmentos comparten el mismo estado PAC activo. El modelo LightGBM, que predice a partir del contexto fisiológico y no del morfotipo individual, asigna una P(severo) alta a cada fragmento. El resultado es un </w:t>
      </w:r>
      <w:r>
        <w:rPr>
          <w:rFonts w:ascii="Arial" w:cs="Arial" w:eastAsia="Arial" w:hAnsi="Arial"/>
          <w:b/>
          <w:bCs/>
          <w:sz w:val="22"/>
          <w:szCs w:val="22"/>
        </w:rPr>
        <w:t>clúster denso de barras altas en morfotipos C1/C2</w:t>
      </w:r>
      <w:r>
        <w:rPr>
          <w:rFonts w:ascii="Arial" w:cs="Arial" w:eastAsia="Arial" w:hAnsi="Arial"/>
          <w:sz w:val="22"/>
          <w:szCs w:val="22"/>
        </w:rPr>
        <w:t xml:space="preserve"> concentrado en una ventana temporal de 10–20 minutos. Este patrón no debe interpretarse como múltiples eventos independientes con riesgo contextual oculto, sino como la firma predictiva de un único episodio prolongado que el algoritmo de detección fragmentó. Esto no constituye un error del modelo: el estado fisiológico está genuinamente comprometido durante todo ese período. La implicación para el especialista es que la </w:t>
      </w:r>
      <w:r>
        <w:rPr>
          <w:rFonts w:ascii="Arial" w:cs="Arial" w:eastAsia="Arial" w:hAnsi="Arial"/>
          <w:i/>
          <w:iCs/>
          <w:sz w:val="22"/>
          <w:szCs w:val="22"/>
        </w:rPr>
        <w:t>hypoxic burden</w:t>
      </w:r>
      <w:r>
        <w:rPr>
          <w:rFonts w:ascii="Arial" w:cs="Arial" w:eastAsia="Arial" w:hAnsi="Arial"/>
          <w:sz w:val="22"/>
          <w:szCs w:val="22"/>
        </w:rPr>
        <w:t xml:space="preserve"> del período es más informativa que el conteo de eventos para cuantificar la carga real. El texto interpretativo automático de la sub-pestaña alerta cuando se detectan N eventos C1/C2 dentro de los 90 s posteriores a un evento severo, orientando a revisar este patrón junto con la señal SpO₂ de la sub-pestaña Detalle en la pestaña Historia. El mecanismo subyacente se desarrolla en §4.2.4 y §6.8.</w:t>
      </w:r>
    </w:p>
    <w:p w14:paraId="1E100004" w14:textId="77777777" w:rsidR="00220889" w:rsidRDefault="00000000">
      <w:pPr>
        <w:spacing w:after="80" w:before="80"/>
        <w:jc w:val="both"/>
      </w:pPr>
      <w:r>
        <w:rPr>
          <w:rFonts w:ascii="Arial" w:cs="Arial" w:eastAsia="Arial" w:hAnsi="Arial"/>
          <w:i/>
          <w:iCs/>
          <w:sz w:val="20"/>
          <w:szCs w:val="20"/>
        </w:rPr>
        <w:t>► Figura complementaria en Anexo Figuras: Fig. 7.4 (Sub-pestaña Distribución morfotipos).</w:t>
      </w:r>
    </w:p>
    <w:p>
      <w:pPr>
        <w:pStyle w:val="Heading2"/>
        <w:spacing w:after="80" w:before="240"/>
      </w:pPr>
      <w:r>
        <w:rPr>
          <w:rFonts w:ascii="Arial" w:cs="Arial" w:eastAsia="Arial" w:hAnsi="Arial"/>
          <w:b/>
          <w:bCs/>
          <w:color w:val="1E3A5F"/>
          <w:sz w:val="24"/>
          <w:szCs w:val="24"/>
        </w:rPr>
        <w:t xml:space="preserve">7.4.3 Pestaña "Estados PAC"</w:t>
      </w:r>
    </w:p>
    <w:p>
      <w:pPr>
        <w:spacing w:after="160" w:before="0"/>
      </w:pPr>
      <w:r>
        <w:rPr>
          <w:rFonts w:ascii="Arial" w:cs="Arial" w:eastAsia="Arial" w:hAnsi="Arial"/>
          <w:sz w:val="22"/>
          <w:szCs w:val="22"/>
        </w:rPr>
        <w:t xml:space="preserve">Esta pestaña corresponde al análisis de nivel noche del Cap05. Se organiza en cuatro sub-pestañas —</w:t>
      </w:r>
      <w:r>
        <w:rPr>
          <w:rFonts w:ascii="Arial" w:cs="Arial" w:eastAsia="Arial" w:hAnsi="Arial"/>
          <w:b/>
          <w:bCs/>
          <w:sz w:val="22"/>
          <w:szCs w:val="22"/>
        </w:rPr>
        <w:t xml:space="preserve">Distribución</w:t>
      </w:r>
      <w:r>
        <w:rPr>
          <w:rFonts w:ascii="Arial" w:cs="Arial" w:eastAsia="Arial" w:hAnsi="Arial"/>
          <w:sz w:val="22"/>
          <w:szCs w:val="22"/>
        </w:rPr>
        <w:t xml:space="preserve">, </w:t>
      </w:r>
      <w:r>
        <w:rPr>
          <w:rFonts w:ascii="Arial" w:cs="Arial" w:eastAsia="Arial" w:hAnsi="Arial"/>
          <w:b/>
          <w:bCs/>
          <w:sz w:val="22"/>
          <w:szCs w:val="22"/>
        </w:rPr>
        <w:t xml:space="preserve">Fracción</w:t>
      </w:r>
      <w:r>
        <w:rPr>
          <w:rFonts w:ascii="Arial" w:cs="Arial" w:eastAsia="Arial" w:hAnsi="Arial"/>
          <w:sz w:val="22"/>
          <w:szCs w:val="22"/>
        </w:rPr>
        <w:t xml:space="preserve">, </w:t>
      </w:r>
      <w:r>
        <w:rPr>
          <w:rFonts w:ascii="Arial" w:cs="Arial" w:eastAsia="Arial" w:hAnsi="Arial"/>
          <w:b/>
          <w:bCs/>
          <w:sz w:val="22"/>
          <w:szCs w:val="22"/>
        </w:rPr>
        <w:t xml:space="preserve">Secuencia</w:t>
      </w:r>
      <w:r>
        <w:rPr>
          <w:rFonts w:ascii="Arial" w:cs="Arial" w:eastAsia="Arial" w:hAnsi="Arial"/>
          <w:sz w:val="22"/>
          <w:szCs w:val="22"/>
        </w:rPr>
        <w:t xml:space="preserve"> y </w:t>
      </w:r>
      <w:r>
        <w:rPr>
          <w:rFonts w:ascii="Arial" w:cs="Arial" w:eastAsia="Arial" w:hAnsi="Arial"/>
          <w:b/>
          <w:bCs/>
          <w:sz w:val="22"/>
          <w:szCs w:val="22"/>
        </w:rPr>
        <w:t xml:space="preserve">Transición</w:t>
      </w:r>
      <w:r>
        <w:rPr>
          <w:rFonts w:ascii="Arial" w:cs="Arial" w:eastAsia="Arial" w:hAnsi="Arial"/>
          <w:sz w:val="22"/>
          <w:szCs w:val="22"/>
        </w:rPr>
        <w:t xml:space="preserve">— con un selector de escala temporal (S/M/L) persistido en session_state que controla las últimas tres.</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w:t>
      </w:r>
      <w:r>
        <w:rPr>
          <w:rFonts w:ascii="Arial" w:cs="Arial" w:eastAsia="Arial" w:hAnsi="Arial"/>
          <w:sz w:val="22"/>
          <w:szCs w:val="22"/>
        </w:rPr>
        <w:t xml:space="preserve"> muestra tres gráficos de barras en paralelo (uno por escala), coloreando en rojo los estados patológicos —S2, S4, S6 / M1, M3 / L0, L1— cuya tasa de morfotipos C4+C5 supera la mediana del corpus (Cap06 §6.3). La sub-pestaña </w:t>
      </w:r>
      <w:r>
        <w:rPr>
          <w:rFonts w:ascii="Arial" w:cs="Arial" w:eastAsia="Arial" w:hAnsi="Arial"/>
          <w:b/>
          <w:bCs/>
          <w:sz w:val="22"/>
          <w:szCs w:val="22"/>
        </w:rPr>
        <w:t xml:space="preserve">Fracción</w:t>
      </w:r>
      <w:r>
        <w:rPr>
          <w:rFonts w:ascii="Arial" w:cs="Arial" w:eastAsia="Arial" w:hAnsi="Arial"/>
          <w:sz w:val="22"/>
          <w:szCs w:val="22"/>
        </w:rPr>
        <w:t xml:space="preserve"> muestra el porcentaje de tiempo en cada estado para la escala seleccionada, con un subtítulo que cita los valores de V de Cramér (S=0.356, M=0.231, L=0.196) como medida de la asociación estadística entre estado activo y morfotipo de evento.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Secuencia</w:t>
      </w:r>
      <w:r>
        <w:rPr>
          <w:rFonts w:ascii="Arial" w:cs="Arial" w:eastAsia="Arial" w:hAnsi="Arial"/>
          <w:sz w:val="22"/>
          <w:szCs w:val="22"/>
        </w:rPr>
        <w:t xml:space="preserve"> grafica la evolución del estado activo a lo largo de la noche. La sub-pestaña </w:t>
      </w:r>
      <w:r>
        <w:rPr>
          <w:rFonts w:ascii="Arial" w:cs="Arial" w:eastAsia="Arial" w:hAnsi="Arial"/>
          <w:b/>
          <w:bCs/>
          <w:sz w:val="22"/>
          <w:szCs w:val="22"/>
        </w:rPr>
        <w:t xml:space="preserve">Transición</w:t>
      </w:r>
      <w:r>
        <w:rPr>
          <w:rFonts w:ascii="Arial" w:cs="Arial" w:eastAsia="Arial" w:hAnsi="Arial"/>
          <w:sz w:val="22"/>
          <w:szCs w:val="22"/>
        </w:rPr>
        <w:t xml:space="preserve"> construye la matriz de transición normalizada entre estados consecutivos y la despliega como un heatmap, recordando en su subtítulo los atractores markovianos del corpus identificados en Cap06 §6.6: S1, M0, L3.</w:t>
      </w:r>
    </w:p>
    <w:p w14:paraId="1E100005" w14:textId="77777777" w:rsidR="00220889" w:rsidRDefault="00000000">
      <w:pPr>
        <w:spacing w:after="80" w:before="80"/>
        <w:jc w:val="both"/>
      </w:pPr>
      <w:r>
        <w:rPr>
          <w:rFonts w:ascii="Arial" w:cs="Arial" w:eastAsia="Arial" w:hAnsi="Arial"/>
          <w:i/>
          <w:iCs/>
          <w:sz w:val="20"/>
          <w:szCs w:val="20"/>
        </w:rPr>
        <w:t>► Figura complementaria en Anexo Figuras: Fig. 7.5 (Sub-pestaña Distribución estados PAC escala M).</w:t>
      </w:r>
    </w:p>
    <w:p>
      <w:pPr>
        <w:pStyle w:val="Heading2"/>
        <w:spacing w:after="80" w:before="240"/>
      </w:pPr>
      <w:r>
        <w:rPr>
          <w:rFonts w:ascii="Arial" w:cs="Arial" w:eastAsia="Arial" w:hAnsi="Arial"/>
          <w:b/>
          <w:bCs/>
          <w:color w:val="1E3A5F"/>
          <w:sz w:val="24"/>
          <w:szCs w:val="24"/>
        </w:rPr>
        <w:t xml:space="preserve">7.4.4 Pestaña "Historia Nocturna"</w:t>
      </w:r>
    </w:p>
    <w:p>
      <w:pPr>
        <w:spacing w:after="160" w:before="0"/>
      </w:pPr>
      <w:r>
        <w:rPr>
          <w:rFonts w:ascii="Arial" w:cs="Arial" w:eastAsia="Arial" w:hAnsi="Arial"/>
          <w:sz w:val="22"/>
          <w:szCs w:val="22"/>
        </w:rPr>
        <w:t xml:space="preserve">La pestaña de historia nocturna integra las tres capas analíticas en dos sub-pestañas: </w:t>
      </w:r>
      <w:r>
        <w:rPr>
          <w:rFonts w:ascii="Arial" w:cs="Arial" w:eastAsia="Arial" w:hAnsi="Arial"/>
          <w:b/>
          <w:bCs/>
          <w:sz w:val="22"/>
          <w:szCs w:val="22"/>
        </w:rPr>
        <w:t xml:space="preserve">Vista integrada</w:t>
      </w:r>
      <w:r>
        <w:rPr>
          <w:rFonts w:ascii="Arial" w:cs="Arial" w:eastAsia="Arial" w:hAnsi="Arial"/>
          <w:sz w:val="22"/>
          <w:szCs w:val="22"/>
        </w:rPr>
        <w:t xml:space="preserve"> y </w:t>
      </w:r>
      <w:r>
        <w:rPr>
          <w:rFonts w:ascii="Arial" w:cs="Arial" w:eastAsia="Arial" w:hAnsi="Arial"/>
          <w:b/>
          <w:bCs/>
          <w:sz w:val="22"/>
          <w:szCs w:val="22"/>
        </w:rPr>
        <w:t xml:space="preserve">Detalle SpO₂ + features</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Vista integrada</w:t>
      </w:r>
      <w:r>
        <w:rPr>
          <w:rFonts w:ascii="Arial" w:cs="Arial" w:eastAsia="Arial" w:hAnsi="Arial"/>
          <w:sz w:val="22"/>
          <w:szCs w:val="22"/>
        </w:rPr>
        <w:t xml:space="preserve"> despliega cinco métricas de acoplamiento y el gráfico más informativamente denso de la interfaz: cuatro capas superpuestas sobre un mismo eje temporal —bandas de fondo translúcidas por estado M activo, señal SpO₂ en primer plano, sombreado de EDOs por morfotipo, y marcadores triangulares invertidos en el nadir de eventos severos—. La co-ocurrencia visual entre estados M de alto riesgo (M1, M3) y eventos de mayor severidad morfológica es la expresión gráfica del coupling index ci_m cuantificado en Cap06 §6.4.</w:t>
      </w:r>
    </w:p>
    <w:p>
      <w:pPr>
        <w:spacing w:after="60" w:before="200"/>
      </w:pPr>
      <w:r>
        <w:rPr>
          <w:rFonts w:ascii="Arial" w:cs="Arial" w:eastAsia="Arial" w:hAnsi="Arial"/>
          <w:b/>
          <w:bCs/>
          <w:color w:val="1E3A5F"/>
          <w:sz w:val="22"/>
          <w:szCs w:val="22"/>
        </w:rPr>
        <w:t xml:space="preserve">Interpretación de las cinco métricas de acoplamiento</w:t>
      </w:r>
    </w:p>
    <w:p>
      <w:pPr>
        <w:spacing w:after="160" w:before="0"/>
      </w:pPr>
      <w:r>
        <w:rPr>
          <w:rFonts w:ascii="Arial" w:cs="Arial" w:eastAsia="Arial" w:hAnsi="Arial"/>
          <w:b/>
          <w:bCs/>
          <w:sz w:val="22"/>
          <w:szCs w:val="22"/>
        </w:rPr>
        <w:t xml:space="preserve">CI_S, CI_M, CI_L (Coupling Index por escala).</w:t>
      </w:r>
      <w:r>
        <w:rPr>
          <w:rFonts w:ascii="Arial" w:cs="Arial" w:eastAsia="Arial" w:hAnsi="Arial"/>
          <w:sz w:val="22"/>
          <w:szCs w:val="22"/>
        </w:rPr>
        <w:t xml:space="preserve"> Los tres índices responden a la misma pregunta con distintas resoluciones temporales: </w:t>
      </w:r>
      <w:r>
        <w:rPr>
          <w:rFonts w:ascii="Arial" w:cs="Arial" w:eastAsia="Arial" w:hAnsi="Arial"/>
          <w:i/>
          <w:iCs/>
          <w:sz w:val="22"/>
          <w:szCs w:val="22"/>
        </w:rPr>
        <w:t xml:space="preserve">¿los eventos C4/C5 tienden a ocurrir cuando el organismo ya está en un estado fisiológico de riesgo, o aparecen en contextos protegidos?</w:t>
      </w:r>
      <w:r>
        <w:rPr>
          <w:rFonts w:ascii="Arial" w:cs="Arial" w:eastAsia="Arial" w:hAnsi="Arial"/>
          <w:sz w:val="22"/>
          <w:szCs w:val="22"/>
        </w:rPr>
        <w:t xml:space="preserve"> Un CI = 1.0 indica que todos los eventos severos de la noche coincidieron con estados patológicos; CI = 0.0 indica que ninguno coincidió; CI = NaN indica que la noche no registró eventos C4/C5 —lo que es en sí mismo información clínica: una noche sin morfotipos severos es una noche de baja carga fenotípica—.</w:t>
      </w:r>
    </w:p>
    <w:p>
      <w:pPr>
        <w:spacing w:after="160" w:before="0"/>
      </w:pPr>
      <w:r>
        <w:rPr>
          <w:rFonts w:ascii="Arial" w:cs="Arial" w:eastAsia="Arial" w:hAnsi="Arial"/>
          <w:sz w:val="22"/>
          <w:szCs w:val="22"/>
        </w:rPr>
        <w:t xml:space="preserve">La progresión de escala permite distinguir el tipo de riesgo. Un CI_M alto con CI_L bajo señala riesgo episódico: existen bloques de 5 minutos con perfil patológico, pero la arquitectura global de la noche es relativamente benigna. Un CI_M alto con CI_L alto señala riesgo estructural: los eventos severos ocurren en bloques patológicos que forman parte de una noche globalmente comprometida. Un CI_M bajo con CI_S bajo en presencia de eventos C4/C5 es el patrón de menor acoplamiento: eventos morfológicamente graves pero fisiológicamente desacoplados del estado del sistema, consistente con el gradiente autonómico inverso documentado en C5 del corpus (Cap04 §4.3.3).</w:t>
      </w:r>
    </w:p>
    <w:p>
      <w:pPr>
        <w:spacing w:after="160" w:before="0"/>
      </w:pPr>
      <w:r>
        <w:rPr>
          <w:rFonts w:ascii="Arial" w:cs="Arial" w:eastAsia="Arial" w:hAnsi="Arial"/>
          <w:b/>
          <w:bCs/>
          <w:sz w:val="22"/>
          <w:szCs w:val="22"/>
        </w:rPr>
        <w:t xml:space="preserve">Entropía M (máx. 1.609 = ln 5).</w:t>
      </w:r>
      <w:r>
        <w:rPr>
          <w:rFonts w:ascii="Arial" w:cs="Arial" w:eastAsia="Arial" w:hAnsi="Arial"/>
          <w:sz w:val="22"/>
          <w:szCs w:val="22"/>
        </w:rPr>
        <w:t xml:space="preserve"> Mide cuán distribuido está el tiempo de la noche entre los cinco estados M. La entropía máxima para K=5 es ln(5) ≈ 1.609, correspondiente a una distribución perfectamente uniforme (20% en cada estado). Una entropía baja (&lt; 0.8) indica una noche dominada por uno o dos estados —el sistema fisiológico se mantuvo en un régimen sostenido, ya sea protector (dominancia M0) o patológico (dominancia M1). Una entropía cercana al máximo indica alta variabilidad entre estados, sin régimen sostenido.</w:t>
      </w:r>
    </w:p>
    <w:p>
      <w:pPr>
        <w:spacing w:after="160" w:before="0"/>
      </w:pPr>
      <w:r>
        <w:rPr>
          <w:rFonts w:ascii="Arial" w:cs="Arial" w:eastAsia="Arial" w:hAnsi="Arial"/>
          <w:b/>
          <w:bCs/>
          <w:sz w:val="22"/>
          <w:szCs w:val="22"/>
        </w:rPr>
        <w:t xml:space="preserve">Transiciones M (% sobre N−1 pasos posibles).</w:t>
      </w:r>
      <w:r>
        <w:rPr>
          <w:rFonts w:ascii="Arial" w:cs="Arial" w:eastAsia="Arial" w:hAnsi="Arial"/>
          <w:sz w:val="22"/>
          <w:szCs w:val="22"/>
        </w:rPr>
        <w:t xml:space="preserve"> Cuenta cuántas veces cambió el estado M activo entre ventanas consecutivas. El denominador es N−1, donde N es el total de ventanas M de la noche. El porcentaje resultante se interpreta en cuatro rangos: por debajo del 30% la noche es rígida (el sistema se sostiene en pocos estados sin cambiar); entre 30–55% la dinámica es moderada (bloques organizados con transiciones regulares); entre 55–75% la noche es fragmentada (switching frecuente entre estados); por encima del 75% la fragmentación es alta, próxima al baseline aleatorio esperado para K=5 (~80%). Este umbral superior refleja el punto a partir del cual las transiciones dejan de tener estructura markoviana detectable y se aproximan a la aleatoriedad. La app muestra el valor junto con el porcentaje y la categoría correspondiente (por ejemplo: "56 (51% · moderada)") para facilitar la lectura clínica directa.</w:t>
      </w:r>
    </w:p>
    <w:p>
      <w:pPr>
        <w:spacing w:after="160" w:before="0"/>
      </w:pPr>
      <w:r>
        <w:rPr>
          <w:rFonts w:ascii="Arial" w:cs="Arial" w:eastAsia="Arial" w:hAnsi="Arial"/>
          <w:sz w:val="22"/>
          <w:szCs w:val="22"/>
        </w:rPr>
        <w:t xml:space="preserve">La relación entre entropía y transiciones es complementaria: entropía alta con pocas transiciones indica bloques largos y estables en estados variados; entropía alta con muchas transiciones indica fragmentación —el sistema cambia frecuentemente sin quedarse en ningún estado—. Esta distinción es relevante para la interpretación clínica: una noche de alta entropía pero baja fragmentación puede corresponder a un paciente con buena variabilidad fisiológica organizada en fases; una noche de alta entropía y alta fragmentación sugiere inestabilidad autonómica sostenida.</w:t>
      </w:r>
    </w:p>
    <w:p>
      <w:pPr>
        <w:spacing w:after="160" w:before="0"/>
      </w:pPr>
      <w:r>
        <w:rPr>
          <w:rFonts w:ascii="Arial" w:cs="Arial" w:eastAsia="Arial" w:hAnsi="Arial"/>
          <w:sz w:val="22"/>
          <w:szCs w:val="22"/>
        </w:rPr>
        <w:t xml:space="preserve">La tabla de referencia rápida de §7.9 consolida los rangos de interpretación de todas las métricas de la interfaz.</w:t>
      </w:r>
    </w:p>
    <w:p>
      <w:pPr>
        <w:spacing w:after="60" w:before="200"/>
      </w:pPr>
      <w:r>
        <w:rPr>
          <w:rFonts w:ascii="Arial" w:cs="Arial" w:eastAsia="Arial" w:hAnsi="Arial"/>
          <w:b/>
          <w:bCs/>
          <w:color w:val="1E3A5F"/>
          <w:sz w:val="22"/>
          <w:szCs w:val="22"/>
        </w:rPr>
        <w:t xml:space="preserve">Alertas de discordancia: Risk Score vs. índices de acoplamiento</w:t>
      </w:r>
    </w:p>
    <w:p>
      <w:pPr>
        <w:spacing w:after="160" w:before="0"/>
      </w:pPr>
      <w:r>
        <w:rPr>
          <w:rFonts w:ascii="Arial" w:cs="Arial" w:eastAsia="Arial" w:hAnsi="Arial"/>
          <w:sz w:val="22"/>
          <w:szCs w:val="22"/>
        </w:rPr>
        <w:t xml:space="preserve">Una de las limitaciones del Risk Score PAC como métrica única es que pondera principalmente la </w:t>
      </w:r>
      <w:r>
        <w:rPr>
          <w:rFonts w:ascii="Arial" w:cs="Arial" w:eastAsia="Arial" w:hAnsi="Arial"/>
          <w:i/>
          <w:iCs/>
          <w:sz w:val="22"/>
          <w:szCs w:val="22"/>
        </w:rPr>
        <w:t xml:space="preserve">frecuencia</w:t>
      </w:r>
      <w:r>
        <w:rPr>
          <w:rFonts w:ascii="Arial" w:cs="Arial" w:eastAsia="Arial" w:hAnsi="Arial"/>
          <w:sz w:val="22"/>
          <w:szCs w:val="22"/>
        </w:rPr>
        <w:t xml:space="preserve"> de eventos C4/C5 y la probabilidad nocturna estimada por el modelo logístico. Una noche con pocos eventos severos pero todos ellos sistemáticamente acoplados a los peores estados fisiológicos puede recibir un score moderado (&lt; 61) a pesar de presentar una carga estructural elevada. Este fenómeno es consistente con el gradiente autonómico inverso documentado en Cap04 §4.3.3: los morfotipos más severos coexisten con menor reactividad autonómica y menor acoplamiento promedio, lo que puede traducirse en scores que subestiman la gravedad estructural de la noche.</w:t>
      </w:r>
    </w:p>
    <w:p>
      <w:pPr>
        <w:spacing w:after="160" w:before="0"/>
      </w:pPr>
      <w:r>
        <w:rPr>
          <w:rFonts w:ascii="Arial" w:cs="Arial" w:eastAsia="Arial" w:hAnsi="Arial"/>
          <w:sz w:val="22"/>
          <w:szCs w:val="22"/>
        </w:rPr>
        <w:t xml:space="preserve">Para señalar estas situaciones, la PAC App implementa un sistema de alertas de discordancia que se activa cuando el Risk Score es moderado o bajo (&lt; 61) pero los índices de acoplamiento superan umbrales de riesgo. Se distinguen dos niveles:</w:t>
      </w:r>
    </w:p>
    <w:p>
      <w:pPr>
        <w:pStyle w:val="ListParagraph"/>
        <w:numPr>
          <w:ilvl w:val="0"/>
          <w:numId w:val="3"/>
        </w:numPr>
        <w:spacing w:after="40" w:before="40"/>
      </w:pPr>
      <w:r>
        <w:rPr>
          <w:rFonts w:ascii="Arial" w:cs="Arial" w:eastAsia="Arial" w:hAnsi="Arial"/>
          <w:b/>
          <w:bCs/>
          <w:sz w:val="22"/>
          <w:szCs w:val="22"/>
        </w:rPr>
        <w:t xml:space="preserve">Discordancia estructural</w:t>
      </w:r>
      <w:r>
        <w:rPr>
          <w:rFonts w:ascii="Arial" w:cs="Arial" w:eastAsia="Arial" w:hAnsi="Arial"/>
          <w:sz w:val="22"/>
          <w:szCs w:val="22"/>
        </w:rPr>
        <w:t xml:space="preserve"> (CI_M ≥ 0.70 y CI_L ≥ 0.50, Risk Score &lt; 61): todos o casi todos los eventos severos ocurrieron tanto en estados M patológicos (M1/M3) como en estados L patológicos (L0/L1). El score puede estar subestimando la carga estructural de la noche; los eventos C4/C5 no fueron aislados sino sistemáticamente acoplados al peor contexto fisiológico disponible en las dos escalas temporales más largas.</w:t>
      </w:r>
    </w:p>
    <w:p>
      <w:pPr>
        <w:pStyle w:val="ListParagraph"/>
        <w:numPr>
          <w:ilvl w:val="0"/>
          <w:numId w:val="3"/>
        </w:numPr>
        <w:spacing w:after="40" w:before="40"/>
      </w:pPr>
      <w:r>
        <w:rPr>
          <w:rFonts w:ascii="Arial" w:cs="Arial" w:eastAsia="Arial" w:hAnsi="Arial"/>
          <w:b/>
          <w:bCs/>
          <w:sz w:val="22"/>
          <w:szCs w:val="22"/>
        </w:rPr>
        <w:t xml:space="preserve">Discordancia de acoplamiento medio</w:t>
      </w:r>
      <w:r>
        <w:rPr>
          <w:rFonts w:ascii="Arial" w:cs="Arial" w:eastAsia="Arial" w:hAnsi="Arial"/>
          <w:sz w:val="22"/>
          <w:szCs w:val="22"/>
        </w:rPr>
        <w:t xml:space="preserve"> (CI_M ≥ 0.70, CI_L &lt; 0.50, Risk Score &lt; 61): los eventos severos se concentraron en estados M patológicos pero la arquitectura global de la noche (escala L) es relativamente protectora. El riesgo es episódico —concentrado en bloques de 5 minutos— pero no se refleja completamente en el score.</w:t>
      </w:r>
    </w:p>
    <w:p>
      <w:pPr>
        <w:spacing w:after="160" w:before="0"/>
      </w:pPr>
      <w:r>
        <w:rPr>
          <w:rFonts w:ascii="Arial" w:cs="Arial" w:eastAsia="Arial" w:hAnsi="Arial"/>
          <w:sz w:val="22"/>
          <w:szCs w:val="22"/>
        </w:rPr>
        <w:t xml:space="preserve">En ambos casos la alerta orienta al especialista a revisar la distribución de morfotipos, la trayectoria nocturna y los estados M activos durante los eventos severos, en lugar de interpretar el Risk Score de forma aislada. La discordancia no indica un error del modelo sino una </w:t>
      </w:r>
      <w:r>
        <w:rPr>
          <w:rFonts w:ascii="Arial" w:cs="Arial" w:eastAsia="Arial" w:hAnsi="Arial"/>
          <w:i/>
          <w:iCs/>
          <w:sz w:val="22"/>
          <w:szCs w:val="22"/>
        </w:rPr>
        <w:t xml:space="preserve">limitación conocida</w:t>
      </w:r>
      <w:r>
        <w:rPr>
          <w:rFonts w:ascii="Arial" w:cs="Arial" w:eastAsia="Arial" w:hAnsi="Arial"/>
          <w:sz w:val="22"/>
          <w:szCs w:val="22"/>
        </w:rPr>
        <w:t xml:space="preserve"> de los modelos de frecuencia frente a noches de bajo volumen con alto acoplamiento estructural: con pocos eventos C4/C5, la señal estadística es débil aunque la señal clínica sea relevante (Wasserstein &amp; Lazar, 2016). Cuando el Risk Score es Alto (≥ 61) no se activa ninguna alerta —en esos casos la frecuencia de eventos severos ya es suficiente para que el score capture el riesgo sin ajuste interpretativo adicional.</w:t>
      </w:r>
    </w:p>
    <w:p>
      <w:pPr>
        <w:spacing w:after="60" w:before="200"/>
      </w:pPr>
      <w:r>
        <w:rPr>
          <w:rFonts w:ascii="Arial" w:cs="Arial" w:eastAsia="Arial" w:hAnsi="Arial"/>
          <w:b/>
          <w:bCs/>
          <w:color w:val="1E3A5F"/>
          <w:sz w:val="22"/>
          <w:szCs w:val="22"/>
        </w:rPr>
        <w:t xml:space="preserve">Alerta de registro de duración reducida</w:t>
      </w:r>
    </w:p>
    <w:p>
      <w:pPr>
        <w:spacing w:after="160" w:before="0"/>
      </w:pPr>
      <w:r>
        <w:rPr>
          <w:rFonts w:ascii="Arial" w:cs="Arial" w:eastAsia="Arial" w:hAnsi="Arial"/>
          <w:sz w:val="22"/>
          <w:szCs w:val="22"/>
        </w:rPr>
        <w:t xml:space="preserve">Un tercer tipo de alerta se activa cuando la duración del registro es inferior a 4 horas. El pipeline PAC_v3 fue entrenado sobre noches de 6–10 horas de duración, con un promedio de aproximadamente 100 ventanas M por noche (cohorte estricta, NB04–NB06). Un registro de, por ejemplo, 2h37m produce solo ~31 ventanas M, lo que tiene tres consecuencias interpretativas:</w:t>
      </w:r>
    </w:p>
    <w:p>
      <w:pPr>
        <w:pStyle w:val="ListParagraph"/>
        <w:numPr>
          <w:ilvl w:val="0"/>
          <w:numId w:val="3"/>
        </w:numPr>
        <w:spacing w:after="40" w:before="40"/>
      </w:pPr>
      <w:r>
        <w:rPr>
          <w:rFonts w:ascii="Arial" w:cs="Arial" w:eastAsia="Arial" w:hAnsi="Arial"/>
          <w:sz w:val="22"/>
          <w:szCs w:val="22"/>
        </w:rPr>
        <w:t xml:space="preserve">La distribución de estados M es estadísticamente menos estable: con pocos datos, la fracción de M1 o M3 puede fluctuar significativamente respecto de lo que sería el perfil sostenido del paciente.</w:t>
      </w:r>
    </w:p>
    <w:p>
      <w:pPr>
        <w:pStyle w:val="ListParagraph"/>
        <w:numPr>
          <w:ilvl w:val="0"/>
          <w:numId w:val="3"/>
        </w:numPr>
        <w:spacing w:after="40" w:before="40"/>
      </w:pPr>
      <w:r>
        <w:rPr>
          <w:rFonts w:ascii="Arial" w:cs="Arial" w:eastAsia="Arial" w:hAnsi="Arial"/>
          <w:sz w:val="22"/>
          <w:szCs w:val="22"/>
        </w:rPr>
        <w:t xml:space="preserve">La ausencia de eventos C4/C5 en un registro corto no es necesariamente informativa: con menos tiempo de exposición, la probabilidad de observar morfotipos severos es proporcional a la duración del registro.</w:t>
      </w:r>
    </w:p>
    <w:p>
      <w:pPr>
        <w:pStyle w:val="ListParagraph"/>
        <w:numPr>
          <w:ilvl w:val="0"/>
          <w:numId w:val="3"/>
        </w:numPr>
        <w:spacing w:after="40" w:before="40"/>
      </w:pPr>
      <w:r>
        <w:rPr>
          <w:rFonts w:ascii="Arial" w:cs="Arial" w:eastAsia="Arial" w:hAnsi="Arial"/>
          <w:sz w:val="22"/>
          <w:szCs w:val="22"/>
        </w:rPr>
        <w:t xml:space="preserve">El Risk Score puede ser moderado (por ejemplo, 55) aunque no haya eventos severos, si las fracciones de estados M y las features nocturnas tienen perfil de riesgo en las pocas ventanas disponibles. En ese caso, el score refleja el contexto fisiológico observado, no la frecuencia de morfotipos severos.</w:t>
      </w:r>
    </w:p>
    <w:p>
      <w:pPr>
        <w:spacing w:after="160" w:before="0"/>
      </w:pPr>
      <w:r>
        <w:rPr>
          <w:rFonts w:ascii="Arial" w:cs="Arial" w:eastAsia="Arial" w:hAnsi="Arial"/>
          <w:sz w:val="22"/>
          <w:szCs w:val="22"/>
        </w:rPr>
        <w:t xml:space="preserve">La alerta —desplegada como advertencia amarilla sobre la tira de métricas de acoplamiento— informa al especialista el número real de ventanas M disponibles y señala que los resultados son orientativos. El umbral de 4 horas es configurable en la constante </w:t>
      </w:r>
      <w:r>
        <w:rPr>
          <w:rFonts w:ascii="Courier New" w:cs="Courier New" w:eastAsia="Courier New" w:hAnsi="Courier New"/>
          <w:color w:val="2D6A4F"/>
          <w:sz w:val="20"/>
          <w:szCs w:val="20"/>
        </w:rPr>
        <w:t xml:space="preserve">_DURACION_MIN_H</w:t>
      </w:r>
      <w:r>
        <w:rPr>
          <w:rFonts w:ascii="Arial" w:cs="Arial" w:eastAsia="Arial" w:hAnsi="Arial"/>
          <w:sz w:val="22"/>
          <w:szCs w:val="22"/>
        </w:rPr>
        <w:t xml:space="preserve"> del módulo app.py; se eligió como valor conservador que garantiza al menos ~48 ventanas M (80% del mínimo de entrenamiento de ~60 ventanas M para las noches más cortas de la cohorte).</w:t>
      </w:r>
    </w:p>
    <w:p>
      <w:pPr>
        <w:spacing w:after="160" w:before="0"/>
      </w:pPr>
      <w:r>
        <w:rPr>
          <w:rFonts w:ascii="Arial" w:cs="Arial" w:eastAsia="Arial" w:hAnsi="Arial"/>
          <w:sz w:val="22"/>
          <w:szCs w:val="22"/>
        </w:rPr>
        <w:t xml:space="preserve">La combinación de registro corto + CI indices NaN + Risk Score moderado-alto representa el escenario de mayor ambigüedad interpretativa de la interfaz. En estos casos se recomienda al especialista: (1) verificar si el registro fue interrumpido o si corresponde a una siesta diurna; (2) no usar el Risk Score como criterio de severidad sin una noche de mayor duración de referencia del mismo paciente; (3) considerar la repetición del registro.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Detalle SpO₂ + features</w:t>
      </w:r>
      <w:r>
        <w:rPr>
          <w:rFonts w:ascii="Arial" w:cs="Arial" w:eastAsia="Arial" w:hAnsi="Arial"/>
          <w:sz w:val="22"/>
          <w:szCs w:val="22"/>
        </w:rPr>
        <w:t xml:space="preserve"> despliega tres subgráficos con eje horizontal compartido: señal SpO₂ con marcadores de eventos severos (fila superior, 50% de altura), secuencia del estado M activo (fila central, 28%), y barras de P(severo) con umbral Youden 0.386 (fila inferior, 22%). Un gráfico horizontal de features nocturnas y un panel resumen de trayectoria completan la sub-pestaña.</w:t>
      </w:r>
    </w:p>
    <w:p w14:paraId="1E100006" w14:textId="77777777" w:rsidR="00220889" w:rsidRDefault="00000000">
      <w:pPr>
        <w:spacing w:after="80" w:before="80"/>
        <w:jc w:val="both"/>
      </w:pPr>
      <w:r>
        <w:rPr>
          <w:rFonts w:ascii="Arial" w:cs="Arial" w:eastAsia="Arial" w:hAnsi="Arial"/>
          <w:i/>
          <w:iCs/>
          <w:sz w:val="20"/>
          <w:szCs w:val="20"/>
        </w:rPr>
        <w:t>► Figura complementaria en Anexo Figuras: Fig. 7.6 (Sub-pestaña Vista integrada — Historia Nocturna).</w:t>
      </w:r>
    </w:p>
    <w:p>
      <w:pPr>
        <w:pStyle w:val="Heading2"/>
        <w:spacing w:after="80" w:before="240"/>
      </w:pPr>
      <w:r>
        <w:rPr>
          <w:rFonts w:ascii="Arial" w:cs="Arial" w:eastAsia="Arial" w:hAnsi="Arial"/>
          <w:b/>
          <w:bCs/>
          <w:color w:val="1E3A5F"/>
          <w:sz w:val="24"/>
          <w:szCs w:val="24"/>
        </w:rPr>
        <w:t xml:space="preserve">7.4.5 Pestaña "Informe IA"</w:t>
      </w:r>
    </w:p>
    <w:p>
      <w:pPr>
        <w:spacing w:after="160" w:before="0"/>
      </w:pPr>
      <w:r>
        <w:rPr>
          <w:rFonts w:ascii="Arial" w:cs="Arial" w:eastAsia="Arial" w:hAnsi="Arial"/>
          <w:sz w:val="22"/>
          <w:szCs w:val="22"/>
        </w:rPr>
        <w:t xml:space="preserve">La quinta pestaña expone el módulo de generación de informes clínicos en lenguaje natural. El usuario selecciona entre dos backends: </w:t>
      </w:r>
      <w:r>
        <w:rPr>
          <w:rFonts w:ascii="Arial" w:cs="Arial" w:eastAsia="Arial" w:hAnsi="Arial"/>
          <w:b/>
          <w:bCs/>
          <w:sz w:val="22"/>
          <w:szCs w:val="22"/>
        </w:rPr>
        <w:t xml:space="preserve">LM Studio</w:t>
      </w:r>
      <w:r>
        <w:rPr>
          <w:rFonts w:ascii="Arial" w:cs="Arial" w:eastAsia="Arial" w:hAnsi="Arial"/>
          <w:sz w:val="22"/>
          <w:szCs w:val="22"/>
        </w:rPr>
        <w:t xml:space="preserve"> (modelo de lenguaje local, API compatible con OpenAI) o </w:t>
      </w:r>
      <w:r>
        <w:rPr>
          <w:rFonts w:ascii="Arial" w:cs="Arial" w:eastAsia="Arial" w:hAnsi="Arial"/>
          <w:b/>
          <w:bCs/>
          <w:sz w:val="22"/>
          <w:szCs w:val="22"/>
        </w:rPr>
        <w:t xml:space="preserve">Claude API de Anthropic</w:t>
      </w:r>
      <w:r>
        <w:rPr>
          <w:rFonts w:ascii="Arial" w:cs="Arial" w:eastAsia="Arial" w:hAnsi="Arial"/>
          <w:sz w:val="22"/>
          <w:szCs w:val="22"/>
        </w:rPr>
        <w:t xml:space="preserve"> (servicio en la nube, con selección de modelo entre claude-sonnet-4-6 y claude-haiku-4-5-20251001). Ambos backends envían el mismo bloque de datos estructurados: Risk Score, ODI₂ estimado, distribución de morfotipos C1–C5, estadísticas de SpO₂ (media, mínimo, T90), distribución de estados M, índices de acoplamiento, trayectoria nocturna, entropía M, número de transiciones M y contexto del modelo entrenado (n=8, LOPO-CV, AUC 0.878).</w:t>
      </w:r>
    </w:p>
    <w:p>
      <w:pPr>
        <w:spacing w:after="160" w:before="0"/>
      </w:pPr>
      <w:r>
        <w:rPr>
          <w:rFonts w:ascii="Arial" w:cs="Arial" w:eastAsia="Arial" w:hAnsi="Arial"/>
          <w:sz w:val="22"/>
          <w:szCs w:val="22"/>
        </w:rPr>
        <w:t xml:space="preserve">El tipo de informe es seleccionable: </w:t>
      </w:r>
      <w:r>
        <w:rPr>
          <w:rFonts w:ascii="Arial" w:cs="Arial" w:eastAsia="Arial" w:hAnsi="Arial"/>
          <w:b/>
          <w:bCs/>
          <w:sz w:val="22"/>
          <w:szCs w:val="22"/>
        </w:rPr>
        <w:t xml:space="preserve">para el especialista</w:t>
      </w:r>
      <w:r>
        <w:rPr>
          <w:rFonts w:ascii="Arial" w:cs="Arial" w:eastAsia="Arial" w:hAnsi="Arial"/>
          <w:sz w:val="22"/>
          <w:szCs w:val="22"/>
        </w:rPr>
        <w:t xml:space="preserve"> (terminología clínico-técnica, cinco secciones: carga de EDOs, estados PAC, acoplamiento, Risk Score, conclusión y recomendaciones) o </w:t>
      </w:r>
      <w:r>
        <w:rPr>
          <w:rFonts w:ascii="Arial" w:cs="Arial" w:eastAsia="Arial" w:hAnsi="Arial"/>
          <w:b/>
          <w:bCs/>
          <w:sz w:val="22"/>
          <w:szCs w:val="22"/>
        </w:rPr>
        <w:t xml:space="preserve">para el paciente</w:t>
      </w:r>
      <w:r>
        <w:rPr>
          <w:rFonts w:ascii="Arial" w:cs="Arial" w:eastAsia="Arial" w:hAnsi="Arial"/>
          <w:sz w:val="22"/>
          <w:szCs w:val="22"/>
        </w:rPr>
        <w:t xml:space="preserve"> (lenguaje accesible, cuatro secciones). Un campo de texto libre permite agregar instrucciones adicionales. El informe generado se despliega con renderizado Markdown y puede descargarse en formato Word con el patrón </w:t>
      </w:r>
      <w:r>
        <w:rPr>
          <w:rFonts w:ascii="Courier New" w:cs="Courier New" w:eastAsia="Courier New" w:hAnsi="Courier New"/>
          <w:color w:val="2D6A4F"/>
          <w:sz w:val="20"/>
          <w:szCs w:val="20"/>
        </w:rPr>
        <w:t xml:space="preserve">informe_{tipo}_pac_{exam_id}_{date}.docx</w:t>
      </w:r>
      <w:r>
        <w:rPr>
          <w:rFonts w:ascii="Arial" w:cs="Arial" w:eastAsia="Arial" w:hAnsi="Arial"/>
          <w:sz w:val="22"/>
          <w:szCs w:val="22"/>
        </w:rPr>
        <w:t xml:space="preserve">.</w:t>
      </w:r>
    </w:p>
    <w:p w14:paraId="1E100007" w14:textId="77777777" w:rsidR="00220889" w:rsidRDefault="00000000">
      <w:pPr>
        <w:spacing w:after="80" w:before="80"/>
        <w:jc w:val="both"/>
      </w:pPr>
      <w:r>
        <w:rPr>
          <w:rFonts w:ascii="Arial" w:cs="Arial" w:eastAsia="Arial" w:hAnsi="Arial"/>
          <w:i/>
          <w:iCs/>
          <w:sz w:val="20"/>
          <w:szCs w:val="20"/>
        </w:rPr>
        <w:t>► Figura complementaria en Anexo Figuras: Fig. 7.7 (Pestaña Informe IA).</w:t>
      </w:r>
    </w:p>
    <w:p>
      <w:pPr>
        <w:pStyle w:val="Heading1"/>
        <w:spacing w:after="120" w:before="360"/>
      </w:pPr>
      <w:r>
        <w:rPr>
          <w:rFonts w:ascii="Arial" w:cs="Arial" w:eastAsia="Arial" w:hAnsi="Arial"/>
          <w:b/>
          <w:bCs/>
          <w:color w:val="1E3A5F"/>
          <w:sz w:val="28"/>
          <w:szCs w:val="28"/>
        </w:rPr>
        <w:t xml:space="preserve">7.5 Caso de uso ilustrativo</w:t>
      </w:r>
    </w:p>
    <w:p>
      <w:pPr>
        <w:spacing w:after="160" w:before="0"/>
      </w:pPr>
      <w:r>
        <w:rPr>
          <w:rFonts w:ascii="Arial" w:cs="Arial" w:eastAsia="Arial" w:hAnsi="Arial"/>
          <w:sz w:val="22"/>
          <w:szCs w:val="22"/>
        </w:rPr>
        <w:t xml:space="preserve">Para ilustrar el flujo completo de la PAC App, se describe el procesamiento de una noche representativa del fenotipo Carga Hipóxica Alta (Cap06 §6.7). Los valores reportados en esta sección son ilustrativos dentro del rango observado en la cohorte, construidos a partir de las distribuciones de nights.parquet (NB05) para ese fenotipo de trayectoria, y no corresponden a un registro individual identificado.</w:t>
      </w:r>
      <w:r>
        <w:rPr>
          <w:rStyle w:val="FootnoteReference"/>
        </w:rPr>
        <w:footnoteReference w:id="1"/>
      </w:r>
    </w:p>
    <w:p>
      <w:pPr>
        <w:spacing w:after="160" w:before="0"/>
      </w:pPr>
      <w:r>
        <w:rPr>
          <w:rFonts w:ascii="Arial" w:cs="Arial" w:eastAsia="Arial" w:hAnsi="Arial"/>
          <w:sz w:val="22"/>
          <w:szCs w:val="22"/>
        </w:rPr>
        <w:t xml:space="preserve">Al cargar el archivo Excel de la noche (formato SOMNI 6000, tres bloques de señal: SpO₂, FC, MOV), el pipeline de la app completa el procesamiento en aproximadamente 18 segundos en un laptop estándar (Apple M2, 16 GB RAM). El resultado devuelve 87 EDOs detectados con umbral ≥2pp (ODI₂ estimado: 10.4 ev/h), de los cuales 7 corresponden a morfotipos C4 o C5 (8.0% del total). El T90 es de 4.2%, indicando que aproximadamente 4 de cada 100 minutos de registro la SpO₂ estuvo por debajo del 90%.</w:t>
      </w:r>
    </w:p>
    <w:p>
      <w:pPr>
        <w:spacing w:after="160" w:before="0"/>
      </w:pPr>
      <w:r>
        <w:rPr>
          <w:rFonts w:ascii="Arial" w:cs="Arial" w:eastAsia="Arial" w:hAnsi="Arial"/>
          <w:sz w:val="22"/>
          <w:szCs w:val="22"/>
        </w:rPr>
        <w:t xml:space="preserve">En la pestaña de Estados PAC, la distribución de la escala M muestra una fracción de M1 de 0.31 —31% del tiempo de registro—, coherente con los valores del fenotipo Carga Hipóxica Alta reportados en Cap06 §6.7. La matriz de transición revela alta probabilidad de transición M0→M1 (0.38) y M1→M1 (0.44), señalando inercia en el estado de mayor carga hipóxica, consistente con la caracterización de la escala M reportada en Cap05 §5.3.</w:t>
      </w:r>
    </w:p>
    <w:p>
      <w:pPr>
        <w:spacing w:after="160" w:before="0"/>
      </w:pPr>
      <w:r>
        <w:rPr>
          <w:rFonts w:ascii="Arial" w:cs="Arial" w:eastAsia="Arial" w:hAnsi="Arial"/>
          <w:sz w:val="22"/>
          <w:szCs w:val="22"/>
        </w:rPr>
        <w:t xml:space="preserve">En la pestaña Historia Nocturna, el gráfico integrado evidencia visualmente la co-ocurrencia entre las bandas del estado M1 y los sombreados de morfotipos C4/C5 en el frente de la señal. El coupling index ci_m de 0.82 —en la segunda banda de interpretación más alta— es coherente con este patrón.</w:t>
      </w:r>
    </w:p>
    <w:p>
      <w:pPr>
        <w:spacing w:after="160" w:before="0"/>
      </w:pPr>
      <w:r>
        <w:rPr>
          <w:rFonts w:ascii="Arial" w:cs="Arial" w:eastAsia="Arial" w:hAnsi="Arial"/>
          <w:sz w:val="22"/>
          <w:szCs w:val="22"/>
        </w:rPr>
        <w:t xml:space="preserve">El módulo de Informe IA, configurado con backend Claude API y modelo claude-sonnet-4-6, genera para la sección del especialista una síntesis que identifica el patrón de hipoxemia moderada-severa, la dominancia del estado M1 como contexto fisiológico predominante, y sugiere considerar seguimiento con PSG de titulación. La sección para el paciente describe la noche en términos accesibles, sin tecnicismos, explicando el significado del puntaje de riesgo y los próximos pasos recomendados.</w:t>
      </w:r>
      <w:r>
        <w:rPr>
          <w:rStyle w:val="FootnoteReference"/>
        </w:rPr>
        <w:footnoteReference w:id="2"/>
      </w:r>
    </w:p>
    <w:p>
      <w:pPr>
        <w:spacing w:after="160" w:before="0"/>
      </w:pPr>
      <w:r>
        <w:rPr>
          <w:rFonts w:ascii="Arial" w:cs="Arial" w:eastAsia="Arial" w:hAnsi="Arial"/>
          <w:sz w:val="22"/>
          <w:szCs w:val="22"/>
        </w:rPr>
        <w:t xml:space="preserve">Este ejemplo ilustrativo no constituye una validación clínica prospectiva. Su propósito es demostrar que el flujo completo —desde el archivo Excel hasta el informe descargable— opera de manera coherente con los resultados del análisis batch y que las interpretaciones generadas son consistentes con el conocimiento del sistema PAC establecido en Cap04–06. La validación formal requiere los protocolos descritos en §7.7.3.</w:t>
      </w:r>
    </w:p>
    <w:p>
      <w:pPr>
        <w:pStyle w:val="Heading1"/>
        <w:spacing w:after="120" w:before="360"/>
      </w:pPr>
      <w:r>
        <w:rPr>
          <w:rFonts w:ascii="Arial" w:cs="Arial" w:eastAsia="Arial" w:hAnsi="Arial"/>
          <w:b/>
          <w:bCs/>
          <w:color w:val="1E3A5F"/>
          <w:sz w:val="28"/>
          <w:szCs w:val="28"/>
        </w:rPr>
        <w:t xml:space="preserve">7.6 Módulo de Informe IA: diseño del prompt y consideraciones éticas</w:t>
      </w:r>
    </w:p>
    <w:p>
      <w:pPr>
        <w:pStyle w:val="Heading2"/>
        <w:spacing w:after="80" w:before="240"/>
      </w:pPr>
      <w:r>
        <w:rPr>
          <w:rFonts w:ascii="Arial" w:cs="Arial" w:eastAsia="Arial" w:hAnsi="Arial"/>
          <w:b/>
          <w:bCs/>
          <w:color w:val="1E3A5F"/>
          <w:sz w:val="24"/>
          <w:szCs w:val="24"/>
        </w:rPr>
        <w:t xml:space="preserve">7.6.1 Diseño del prompt</w:t>
      </w:r>
    </w:p>
    <w:p>
      <w:pPr>
        <w:spacing w:after="160" w:before="0"/>
      </w:pPr>
      <w:r>
        <w:rPr>
          <w:rFonts w:ascii="Arial" w:cs="Arial" w:eastAsia="Arial" w:hAnsi="Arial"/>
          <w:sz w:val="22"/>
          <w:szCs w:val="22"/>
        </w:rPr>
        <w:t xml:space="preserve">El prompt que estructura la generación del informe sigue principios establecidos de ingeniería de prompts para modelos de lenguaje de gran escala (Brown et al., 2020): (a) contexto de rol explícito; (b) datos numéricos de la noche en formato Markdown estructurado; (c) instrucción de formato precisa (secciones diferenciadas con audiencias específicas); y (d) directivas de estilo que buscan facilitar la lectura clínica rápida. La temperatura configurada es 0.3 en ambos backends, priorizando consistencia sobre variabilidad en la generación narrativa.</w:t>
      </w:r>
    </w:p>
    <w:p>
      <w:pPr>
        <w:spacing w:after="160" w:before="0"/>
      </w:pPr>
      <w:r>
        <w:rPr>
          <w:rFonts w:ascii="Arial" w:cs="Arial" w:eastAsia="Arial" w:hAnsi="Arial"/>
          <w:sz w:val="22"/>
          <w:szCs w:val="22"/>
        </w:rPr>
        <w:t xml:space="preserve">El prompt instruye al modelo a generar una interpretación y recomendaciones de seguimiento, no diagnósticos. Incluye el contexto del modelo entrenado (cohorte, AUC, limitaciones de generalización) para que el modelo de lenguaje pueda reflejar esas limitaciones en su texto. Esta distinción entre asistencia interpretativa y diagnóstico clínico es deliberada y central al marco ético del módulo.</w:t>
      </w:r>
    </w:p>
    <w:p>
      <w:pPr>
        <w:pStyle w:val="Heading2"/>
        <w:spacing w:after="80" w:before="240"/>
      </w:pPr>
      <w:r>
        <w:rPr>
          <w:rFonts w:ascii="Arial" w:cs="Arial" w:eastAsia="Arial" w:hAnsi="Arial"/>
          <w:b/>
          <w:bCs/>
          <w:color w:val="1E3A5F"/>
          <w:sz w:val="24"/>
          <w:szCs w:val="24"/>
        </w:rPr>
        <w:t xml:space="preserve">7.6.2 Consideraciones éticas</w:t>
      </w:r>
    </w:p>
    <w:p>
      <w:pPr>
        <w:spacing w:after="160" w:before="0"/>
      </w:pPr>
      <w:r>
        <w:rPr>
          <w:rFonts w:ascii="Arial" w:cs="Arial" w:eastAsia="Arial" w:hAnsi="Arial"/>
          <w:sz w:val="22"/>
          <w:szCs w:val="22"/>
        </w:rPr>
        <w:t xml:space="preserve">El módulo de informe clínico generado por IA plantea dos dimensiones éticas que merecen explicitarse, a la luz del marco DECIDE-AI para la evaluación de sistemas de IA en medicina (Vasey et al., 2022).</w:t>
      </w:r>
    </w:p>
    <w:p>
      <w:pPr>
        <w:spacing w:after="160" w:before="0"/>
      </w:pPr>
      <w:r>
        <w:rPr>
          <w:rFonts w:ascii="Arial" w:cs="Arial" w:eastAsia="Arial" w:hAnsi="Arial"/>
          <w:b/>
          <w:bCs/>
          <w:sz w:val="22"/>
          <w:szCs w:val="22"/>
        </w:rPr>
        <w:t xml:space="preserve">Distinción entre asistencia interpretativa y diagnóstico.</w:t>
      </w:r>
      <w:r>
        <w:rPr>
          <w:rFonts w:ascii="Arial" w:cs="Arial" w:eastAsia="Arial" w:hAnsi="Arial"/>
          <w:sz w:val="22"/>
          <w:szCs w:val="22"/>
        </w:rPr>
        <w:t xml:space="preserve"> El informe sintetiza datos en lenguaje natural, pero no substituye el juicio del especialista ni constituye un diagnóstico formal. El marco DECIDE-AI establece que los sistemas de IA médica en fase piloto deben reportar explícitamente el papel del clínico en la toma de decisión final; en la PAC App, ese papel está preservado mediante el diseño del prompt y la denominación del módulo como ayuda diagnóstica.</w:t>
      </w:r>
    </w:p>
    <w:p>
      <w:pPr>
        <w:spacing w:after="160" w:before="0"/>
      </w:pPr>
      <w:r>
        <w:rPr>
          <w:rFonts w:ascii="Arial" w:cs="Arial" w:eastAsia="Arial" w:hAnsi="Arial"/>
          <w:b/>
          <w:bCs/>
          <w:sz w:val="22"/>
          <w:szCs w:val="22"/>
        </w:rPr>
        <w:t xml:space="preserve">Calidad y trazabilidad del texto generado.</w:t>
      </w:r>
      <w:r>
        <w:rPr>
          <w:rFonts w:ascii="Arial" w:cs="Arial" w:eastAsia="Arial" w:hAnsi="Arial"/>
          <w:sz w:val="22"/>
          <w:szCs w:val="22"/>
        </w:rPr>
        <w:t xml:space="preserve"> El modelo de lenguaje utilizado no fue ajustado sobre literatura de medicina del sueño ni sobre la terminología PAC. La calidad del informe depende de la capacidad de generalización del modelo base. Cai et al. (2019) señalan que los médicos tienden a confiar excesivamente en recomendaciones de IA incluso cuando son incorrectas, un fenómeno de </w:t>
      </w:r>
      <w:r>
        <w:rPr>
          <w:rFonts w:ascii="Arial" w:cs="Arial" w:eastAsia="Arial" w:hAnsi="Arial"/>
          <w:i/>
          <w:iCs/>
          <w:sz w:val="22"/>
          <w:szCs w:val="22"/>
        </w:rPr>
        <w:t xml:space="preserve">automation bias</w:t>
      </w:r>
      <w:r>
        <w:rPr>
          <w:rFonts w:ascii="Arial" w:cs="Arial" w:eastAsia="Arial" w:hAnsi="Arial"/>
          <w:sz w:val="22"/>
          <w:szCs w:val="22"/>
        </w:rPr>
        <w:t xml:space="preserve"> especialmente relevante en módulos de texto libre. Los informes generados deben ser revisados por el especialista antes de su incorporación a la historia clínica del paciente.</w:t>
      </w:r>
    </w:p>
    <w:p>
      <w:pPr>
        <w:pStyle w:val="Heading2"/>
        <w:spacing w:after="80" w:before="240"/>
      </w:pPr>
      <w:r>
        <w:rPr>
          <w:rFonts w:ascii="Arial" w:cs="Arial" w:eastAsia="Arial" w:hAnsi="Arial"/>
          <w:b/>
          <w:bCs/>
          <w:color w:val="1E3A5F"/>
          <w:sz w:val="24"/>
          <w:szCs w:val="24"/>
        </w:rPr>
        <w:t xml:space="preserve">7.6.3 Marco regulatorio aplicable</w:t>
      </w:r>
    </w:p>
    <w:p>
      <w:pPr>
        <w:spacing w:after="160" w:before="0"/>
      </w:pPr>
      <w:r>
        <w:rPr>
          <w:rFonts w:ascii="Arial" w:cs="Arial" w:eastAsia="Arial" w:hAnsi="Arial"/>
          <w:sz w:val="22"/>
          <w:szCs w:val="22"/>
        </w:rPr>
        <w:t xml:space="preserve">La opción de backend local (LM Studio) responde a la obligación de mantener los datos del paciente dentro del perímetro institucional. La opción de API en la nube requiere que el operador evalúe la compatibilidad con las normativas aplicables a datos de salud en su jurisdicción. En Argentina, el marco regulatorio relevante incluye la Ley 25.326 de Protección de Datos Personales, las resoluciones de la ANMAT sobre dispositivos de diagnóstico y telemedicina, y las recomendaciones del Ministerio de Salud sobre el uso de inteligencia artificial en sistemas de salud. En jurisdicciones con regulación GDPR, aplican adicionalmente las restricciones al tratamiento de datos de salud como categoría especial de datos personales (Artículo 9, Reglamento UE 2016/679).</w:t>
      </w:r>
    </w:p>
    <w:p>
      <w:pPr>
        <w:spacing w:after="160" w:before="0"/>
      </w:pPr>
      <w:r>
        <w:rPr>
          <w:rFonts w:ascii="Arial" w:cs="Arial" w:eastAsia="Arial" w:hAnsi="Arial"/>
          <w:sz w:val="22"/>
          <w:szCs w:val="22"/>
        </w:rPr>
        <w:t xml:space="preserve">Es importante señalar que la PAC App en su estado actual es un prototipo de investigación y no ha recibido autorización de dispositivo médico (</w:t>
      </w:r>
      <w:r>
        <w:rPr>
          <w:rFonts w:ascii="Arial" w:cs="Arial" w:eastAsia="Arial" w:hAnsi="Arial"/>
          <w:i/>
          <w:iCs/>
          <w:sz w:val="22"/>
          <w:szCs w:val="22"/>
        </w:rPr>
        <w:t xml:space="preserve">clearance</w:t>
      </w:r>
      <w:r>
        <w:rPr>
          <w:rFonts w:ascii="Arial" w:cs="Arial" w:eastAsia="Arial" w:hAnsi="Arial"/>
          <w:sz w:val="22"/>
          <w:szCs w:val="22"/>
        </w:rPr>
        <w:t xml:space="preserve">) por parte de la ANMAT ni de ningún organismo regulatorio equivalente. Cualquier uso en contexto clínico asistencial real requeriría el proceso de aprobación regulatoria correspondiente, que incluye la evaluación de la evidencia clínica de validación prospectiva.</w:t>
      </w:r>
    </w:p>
    <w:p>
      <w:pPr>
        <w:pStyle w:val="Heading1"/>
        <w:spacing w:after="120" w:before="360"/>
      </w:pPr>
      <w:r>
        <w:rPr>
          <w:rFonts w:ascii="Arial" w:cs="Arial" w:eastAsia="Arial" w:hAnsi="Arial"/>
          <w:b/>
          <w:bCs/>
          <w:color w:val="1E3A5F"/>
          <w:sz w:val="28"/>
          <w:szCs w:val="28"/>
        </w:rPr>
        <w:t xml:space="preserve">7.7 Limitaciones y trabajo futuro</w:t>
      </w:r>
    </w:p>
    <w:p>
      <w:pPr>
        <w:spacing w:after="160" w:before="0"/>
      </w:pPr>
      <w:r>
        <w:rPr>
          <w:rFonts w:ascii="Arial" w:cs="Arial" w:eastAsia="Arial" w:hAnsi="Arial"/>
          <w:sz w:val="22"/>
          <w:szCs w:val="22"/>
        </w:rPr>
        <w:t xml:space="preserve">La PAC App constituye un prototipo funcional cuyo objetivo es demostrar la viabilidad del flujo clínico individual; no una aplicación certificada para uso en producción. Sus limitaciones se agrupan en cuatro dimensiones.</w:t>
      </w:r>
    </w:p>
    <w:p>
      <w:pPr>
        <w:pStyle w:val="Heading2"/>
        <w:spacing w:after="80" w:before="240"/>
      </w:pPr>
      <w:r>
        <w:rPr>
          <w:rFonts w:ascii="Arial" w:cs="Arial" w:eastAsia="Arial" w:hAnsi="Arial"/>
          <w:b/>
          <w:bCs/>
          <w:color w:val="1E3A5F"/>
          <w:sz w:val="24"/>
          <w:szCs w:val="24"/>
        </w:rPr>
        <w:t xml:space="preserve">7.7.1 Limitaciones de los modelos subyacentes</w:t>
      </w:r>
    </w:p>
    <w:p>
      <w:pPr>
        <w:spacing w:after="160" w:before="0"/>
      </w:pPr>
      <w:r>
        <w:rPr>
          <w:rFonts w:ascii="Arial" w:cs="Arial" w:eastAsia="Arial" w:hAnsi="Arial"/>
          <w:sz w:val="22"/>
          <w:szCs w:val="22"/>
        </w:rPr>
        <w:t xml:space="preserve">Como ya se señala en Cap06 §6.12, los modelos de predicción fueron entrenados sobre n=8 pacientes (cohorte estricta, LOPO-CV). El Risk Score y las probabilidades de evento se calibraron sobre esa cohorte; su comportamiento en poblaciones distintas requiere validación prospectiva. En el contexto de la app, esta limitación tiene una implicación adicional: el score calculado sobre un nuevo paciente —fuera de la cohorte de entrenamiento— es una extrapolación sin garantía de calibración. El marco TRIPOD para la evaluación de modelos de predicción clínica (Collins et al., 2015) establece la validación externa como requisito mínimo antes de la adopción en la práctica; la PAC App en su estado actual no satisface ese requisito para uso clínico general.</w:t>
      </w:r>
    </w:p>
    <w:p>
      <w:pPr>
        <w:spacing w:after="160" w:before="0"/>
      </w:pPr>
      <w:r>
        <w:rPr>
          <w:rFonts w:ascii="Arial" w:cs="Arial" w:eastAsia="Arial" w:hAnsi="Arial"/>
          <w:sz w:val="22"/>
          <w:szCs w:val="22"/>
        </w:rPr>
        <w:t xml:space="preserve">Una limitación específica de la app concierne a la definición de estados patológicos utilizada para el cómputo de los índices de acoplamiento (CI_S, CI_M, CI_L). En el análisis de investigación (NB05), los estados patológicos de cada escala se derivan </w:t>
      </w:r>
      <w:r>
        <w:rPr>
          <w:rFonts w:ascii="Arial" w:cs="Arial" w:eastAsia="Arial" w:hAnsi="Arial"/>
          <w:i/>
          <w:iCs/>
          <w:sz w:val="22"/>
          <w:szCs w:val="22"/>
        </w:rPr>
        <w:t xml:space="preserve">empíricamente</w:t>
      </w:r>
      <w:r>
        <w:rPr>
          <w:rFonts w:ascii="Arial" w:cs="Arial" w:eastAsia="Arial" w:hAnsi="Arial"/>
          <w:sz w:val="22"/>
          <w:szCs w:val="22"/>
        </w:rPr>
        <w:t xml:space="preserve"> del corpus completo: son los estados cuya tasa de eventos C4/C5 supera la mediana del corpus (S2/S4/S6, M1/M3, L0/L1). Este cálculo opera sobre todas las noches simultáneamente y es intrínsecamente data-driven.</w:t>
      </w:r>
    </w:p>
    <w:p>
      <w:pPr>
        <w:spacing w:after="160" w:before="0"/>
      </w:pPr>
      <w:r>
        <w:rPr>
          <w:rFonts w:ascii="Arial" w:cs="Arial" w:eastAsia="Arial" w:hAnsi="Arial"/>
          <w:sz w:val="22"/>
          <w:szCs w:val="22"/>
        </w:rPr>
        <w:t xml:space="preserve">En la app, en cambio, una noche individual desconocida no tiene corpus de referencia para derivar qué estados son patológicos. La solución adoptada es utilizar como referencia fija los estados patológicos derivados del corpus PAC_v3: S2, S4, S6 para la escala S; M1, M3 para la escala M; L0, L1 para la escala L. Estos valores están hardcodeados en el módulo pipeline.py y son el resultado canónico del análisis batch, no un preset arbitrario.</w:t>
      </w:r>
    </w:p>
    <w:p>
      <w:pPr>
        <w:spacing w:after="160" w:before="0"/>
      </w:pPr>
      <w:r>
        <w:rPr>
          <w:rFonts w:ascii="Arial" w:cs="Arial" w:eastAsia="Arial" w:hAnsi="Arial"/>
          <w:sz w:val="22"/>
          <w:szCs w:val="22"/>
        </w:rPr>
        <w:t xml:space="preserve">La implicación metodológica es que los coupling indices calculados por la app asumen que el perfil de riesgo de los estados M se mantiene estable entre el corpus de entrenamiento y el nuevo paciente. Si en una población distinta (por ejemplo, SAOS pediátrico, o pacientes con comorbilidades cardíacas severas) los estados patológicos resultaran diferentes, los CI de la app reflejarían la estructura de riesgo del corpus PAC_v3, no la del paciente evaluado. Esta limitación se suma a la de generalización del modelo y refuerza la necesidad de validación prospectiva en cohortes independientes antes de cualquier uso clínico formal.</w:t>
      </w:r>
    </w:p>
    <w:p>
      <w:pPr>
        <w:pStyle w:val="Heading2"/>
        <w:spacing w:after="80" w:before="240"/>
      </w:pPr>
      <w:r>
        <w:rPr>
          <w:rFonts w:ascii="Arial" w:cs="Arial" w:eastAsia="Arial" w:hAnsi="Arial"/>
          <w:b/>
          <w:bCs/>
          <w:color w:val="1E3A5F"/>
          <w:sz w:val="24"/>
          <w:szCs w:val="24"/>
        </w:rPr>
        <w:t xml:space="preserve">7.7.2 Portabilidad del formato de entrada</w:t>
      </w:r>
    </w:p>
    <w:p>
      <w:pPr>
        <w:spacing w:after="160" w:before="0"/>
      </w:pPr>
      <w:r>
        <w:rPr>
          <w:rFonts w:ascii="Arial" w:cs="Arial" w:eastAsia="Arial" w:hAnsi="Arial"/>
          <w:sz w:val="22"/>
          <w:szCs w:val="22"/>
        </w:rPr>
        <w:t xml:space="preserve">El pipeline de ingesta fue diseñado para el formato Excel de tres bloques generado por el SOMNI 6000 (firmware del protocolo CLP-275001 v1.2). Cualquier cambio en el formato de exportación del dispositivo requeriría adaptar el módulo de ingesta y potencialmente re-entrenar los modelos morfológicos y de estados.</w:t>
      </w:r>
    </w:p>
    <w:p>
      <w:pPr>
        <w:pStyle w:val="Heading2"/>
        <w:spacing w:after="80" w:before="240"/>
      </w:pPr>
      <w:r>
        <w:rPr>
          <w:rFonts w:ascii="Arial" w:cs="Arial" w:eastAsia="Arial" w:hAnsi="Arial"/>
          <w:b/>
          <w:bCs/>
          <w:color w:val="1E3A5F"/>
          <w:sz w:val="24"/>
          <w:szCs w:val="24"/>
        </w:rPr>
        <w:t xml:space="preserve">7.7.3 Ausencia de validación prospectiva clínica</w:t>
      </w:r>
    </w:p>
    <w:p>
      <w:pPr>
        <w:spacing w:after="160" w:before="0"/>
      </w:pPr>
      <w:r>
        <w:rPr>
          <w:rFonts w:ascii="Arial" w:cs="Arial" w:eastAsia="Arial" w:hAnsi="Arial"/>
          <w:sz w:val="22"/>
          <w:szCs w:val="22"/>
        </w:rPr>
        <w:t xml:space="preserve">La app no ha sido evaluada en un entorno clínico real. Una validación prospectiva adecuada requeriría: definir métricas de utilidad clínica (tiempo de interpretación, tasa de concordancia con PSG, impacto en decisiones terapéuticas); un protocolo de uso con formación de los especialistas; y una cohorte de validación independiente de la de entrenamiento. El framework DECIDE-AI (Vasey et al., 2022) recomienda además reportar la tasa de uso efectivo del sistema y los falsos positivos con consecuencias clínicas observadas.</w:t>
      </w:r>
    </w:p>
    <w:p>
      <w:pPr>
        <w:pStyle w:val="Heading2"/>
        <w:spacing w:after="80" w:before="240"/>
      </w:pPr>
      <w:r>
        <w:rPr>
          <w:rFonts w:ascii="Arial" w:cs="Arial" w:eastAsia="Arial" w:hAnsi="Arial"/>
          <w:b/>
          <w:bCs/>
          <w:color w:val="1E3A5F"/>
          <w:sz w:val="24"/>
          <w:szCs w:val="24"/>
        </w:rPr>
        <w:t xml:space="preserve">7.7.4 Mejoras de interfaz e integración</w:t>
      </w:r>
    </w:p>
    <w:p>
      <w:pPr>
        <w:spacing w:after="160" w:before="0"/>
      </w:pPr>
      <w:r>
        <w:rPr>
          <w:rFonts w:ascii="Arial" w:cs="Arial" w:eastAsia="Arial" w:hAnsi="Arial"/>
          <w:sz w:val="22"/>
          <w:szCs w:val="22"/>
        </w:rPr>
        <w:t xml:space="preserve">Una versión clínica requeriría, entre otras mejoras:</w:t>
      </w:r>
    </w:p>
    <w:p>
      <w:pPr>
        <w:pStyle w:val="ListParagraph"/>
        <w:numPr>
          <w:ilvl w:val="0"/>
          <w:numId w:val="3"/>
        </w:numPr>
        <w:spacing w:after="40" w:before="40"/>
      </w:pPr>
      <w:r>
        <w:rPr>
          <w:rFonts w:ascii="Arial" w:cs="Arial" w:eastAsia="Arial" w:hAnsi="Arial"/>
          <w:sz w:val="22"/>
          <w:szCs w:val="22"/>
        </w:rPr>
        <w:t xml:space="preserve">Diseño de interfaz profesional conforme a estándares de usabilidad médica (ISO 62366, IEC 60601-1-6).</w:t>
      </w:r>
    </w:p>
    <w:p>
      <w:pPr>
        <w:pStyle w:val="ListParagraph"/>
        <w:numPr>
          <w:ilvl w:val="0"/>
          <w:numId w:val="3"/>
        </w:numPr>
        <w:spacing w:after="40" w:before="40"/>
      </w:pPr>
      <w:r>
        <w:rPr>
          <w:rFonts w:ascii="Arial" w:cs="Arial" w:eastAsia="Arial" w:hAnsi="Arial"/>
          <w:sz w:val="22"/>
          <w:szCs w:val="22"/>
        </w:rPr>
        <w:t xml:space="preserve">Manejo robusto de errores y archivos malformados, con mensajes informativos para el usuario no técnico.</w:t>
      </w:r>
    </w:p>
    <w:p>
      <w:pPr>
        <w:pStyle w:val="ListParagraph"/>
        <w:numPr>
          <w:ilvl w:val="0"/>
          <w:numId w:val="3"/>
        </w:numPr>
        <w:spacing w:after="40" w:before="40"/>
      </w:pPr>
      <w:r>
        <w:rPr>
          <w:rFonts w:ascii="Arial" w:cs="Arial" w:eastAsia="Arial" w:hAnsi="Arial"/>
          <w:sz w:val="22"/>
          <w:szCs w:val="22"/>
        </w:rPr>
        <w:t xml:space="preserve">Persistencia de historial longitudinal por paciente: tendencias multi-noche, evolución del Risk Score entre visitas, comparación de trayectorias nocturnas.</w:t>
      </w:r>
    </w:p>
    <w:p>
      <w:pPr>
        <w:pStyle w:val="ListParagraph"/>
        <w:numPr>
          <w:ilvl w:val="0"/>
          <w:numId w:val="3"/>
        </w:numPr>
        <w:spacing w:after="40" w:before="40"/>
      </w:pPr>
      <w:r>
        <w:rPr>
          <w:rFonts w:ascii="Arial" w:cs="Arial" w:eastAsia="Arial" w:hAnsi="Arial"/>
          <w:sz w:val="22"/>
          <w:szCs w:val="22"/>
        </w:rPr>
        <w:t xml:space="preserve">Integración con sistemas de historia clínica electrónica (HIS/EMR) mediante interfaces estándar (HL7 FHIR).</w:t>
      </w:r>
    </w:p>
    <w:p>
      <w:pPr>
        <w:spacing w:after="160" w:before="0"/>
      </w:pPr>
      <w:r>
        <w:rPr>
          <w:rFonts w:ascii="Arial" w:cs="Arial" w:eastAsia="Arial" w:hAnsi="Arial"/>
          <w:sz w:val="22"/>
          <w:szCs w:val="22"/>
        </w:rPr>
        <w:t xml:space="preserve">La capacidad de predicción prospectiva —anticipar eventos severos con horizonte temporal clínico— no está integrada en la versión actual. El Risk Score calculado en la app es una evaluación retrospectiva de la carga hipóxica sobre la noche ya registrada. El módulo NB08, desarrollado en el Cap08, aborda específicamente esa limitación.</w:t>
      </w:r>
    </w:p>
    <w:p>
      <w:pPr>
        <w:pStyle w:val="Heading1"/>
        <w:spacing w:after="120" w:before="360"/>
      </w:pPr>
      <w:r>
        <w:rPr>
          <w:rFonts w:ascii="Arial" w:cs="Arial" w:eastAsia="Arial" w:hAnsi="Arial"/>
          <w:b/>
          <w:bCs/>
          <w:color w:val="1E3A5F"/>
          <w:sz w:val="28"/>
          <w:szCs w:val="28"/>
        </w:rPr>
        <w:t xml:space="preserve">7.8 Conclusiones y bridge al Capítulo 8</w:t>
      </w:r>
    </w:p>
    <w:p>
      <w:pPr>
        <w:spacing w:after="160" w:before="0"/>
      </w:pPr>
      <w:r>
        <w:rPr>
          <w:rFonts w:ascii="Arial" w:cs="Arial" w:eastAsia="Arial" w:hAnsi="Arial"/>
          <w:sz w:val="22"/>
          <w:szCs w:val="22"/>
        </w:rPr>
        <w:t xml:space="preserve">La PAC App constituye la primera prueba de concepto de que las representaciones desarrolladas en Cap04–06 pueden operar fuera del entorno de investigación y producir valor interpretativo en un flujo clínico individual. Tres aspectos del diseño merecen destacarse como contribuciones de este capítulo.</w:t>
      </w:r>
    </w:p>
    <w:p>
      <w:pPr>
        <w:spacing w:after="160" w:before="0"/>
      </w:pPr>
      <w:r>
        <w:rPr>
          <w:rFonts w:ascii="Arial" w:cs="Arial" w:eastAsia="Arial" w:hAnsi="Arial"/>
          <w:sz w:val="22"/>
          <w:szCs w:val="22"/>
        </w:rPr>
        <w:t xml:space="preserve">Primero, la arquitectura de módulos compartidos entre el pipeline de investigación y la aplicación garantiza consistencia completa: los resultados de la app son idénticos a los producidos por los cuadernos de análisis, sin reimplementación paralela. Esto responde directamente a uno de los riesgos más frecuentes en la traslación de sistemas de IA médica —la divergencia entre el sistema evaluado y el desplegado (Sendak et al., 2020).</w:t>
      </w:r>
    </w:p>
    <w:p>
      <w:pPr>
        <w:spacing w:after="160" w:before="0"/>
      </w:pPr>
      <w:r>
        <w:rPr>
          <w:rFonts w:ascii="Arial" w:cs="Arial" w:eastAsia="Arial" w:hAnsi="Arial"/>
          <w:sz w:val="22"/>
          <w:szCs w:val="22"/>
        </w:rPr>
        <w:t xml:space="preserve">Segundo, la interfaz de cinco pestañas respeta una progresión de lo más agregado a lo más granular: desde el Risk Score de conjunto hasta la secuencia de estados segundo a segundo. Esta progresión acomoda distintos niveles de profundidad de análisis según la pregunta clínica del especialista, y es coherente con los principios de diseño centrado en el usuario para herramientas de soporte a la decisión clínica (Cai et al., 2019).</w:t>
      </w:r>
    </w:p>
    <w:p>
      <w:pPr>
        <w:spacing w:after="160" w:before="0"/>
      </w:pPr>
      <w:r>
        <w:rPr>
          <w:rFonts w:ascii="Arial" w:cs="Arial" w:eastAsia="Arial" w:hAnsi="Arial"/>
          <w:sz w:val="22"/>
          <w:szCs w:val="22"/>
        </w:rPr>
        <w:t xml:space="preserve">Tercero, 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en particular respecto al fenómeno de </w:t>
      </w:r>
      <w:r>
        <w:rPr>
          <w:rFonts w:ascii="Arial" w:cs="Arial" w:eastAsia="Arial" w:hAnsi="Arial"/>
          <w:i/>
          <w:iCs/>
          <w:sz w:val="22"/>
          <w:szCs w:val="22"/>
        </w:rPr>
        <w:t xml:space="preserve">automation bias</w:t>
      </w:r>
      <w:r>
        <w:rPr>
          <w:rFonts w:ascii="Arial" w:cs="Arial" w:eastAsia="Arial" w:hAnsi="Arial"/>
          <w:sz w:val="22"/>
          <w:szCs w:val="22"/>
        </w:rPr>
        <w:t xml:space="preserve"> documentado en la literatura de soporte a la decisión clínica (Cai et al., 2019).</w:t>
      </w:r>
    </w:p>
    <w:p>
      <w:pPr>
        <w:spacing w:after="160" w:before="0"/>
      </w:pPr>
      <w:r>
        <w:rPr>
          <w:rFonts w:ascii="Arial" w:cs="Arial" w:eastAsia="Arial" w:hAnsi="Arial"/>
          <w:sz w:val="22"/>
          <w:szCs w:val="22"/>
        </w:rPr>
        <w:t xml:space="preserve">El Capítulo 8 extiende el alcance de la PAC App en una dirección que la versión actual no implementa: la predicción </w:t>
      </w:r>
      <w:r>
        <w:rPr>
          <w:rFonts w:ascii="Arial" w:cs="Arial" w:eastAsia="Arial" w:hAnsi="Arial"/>
          <w:i/>
          <w:iCs/>
          <w:sz w:val="22"/>
          <w:szCs w:val="22"/>
        </w:rPr>
        <w:t xml:space="preserve">prospectiva</w:t>
      </w:r>
      <w:r>
        <w:rPr>
          <w:rFonts w:ascii="Arial" w:cs="Arial" w:eastAsia="Arial" w:hAnsi="Arial"/>
          <w:sz w:val="22"/>
          <w:szCs w:val="22"/>
        </w:rPr>
        <w:t xml:space="preserve"> de eventos severos con horizonte temporal clínico explícito (NB08, H∈{2,5,10,15} min). Cap06 estableció que las representaciones PAC contienen la información necesaria para anticipar morfotipos severos; Cap08 convierte esa capacidad en un módulo operacional con lead time de 5 minutos, abriendo la posibilidad de integración con el estimulador eléctrico transcutáneo del SOMNI 6000 —que permanece como hipótesis operacional pendiente de ensayo clínico controlado.</w:t>
      </w:r>
    </w:p>
    <w:p>
      <w:pPr>
        <w:pStyle w:val="Heading1"/>
        <w:spacing w:after="120" w:before="360"/>
      </w:pPr>
      <w:r>
        <w:rPr>
          <w:rFonts w:ascii="Arial" w:cs="Arial" w:eastAsia="Arial" w:hAnsi="Arial"/>
          <w:b/>
          <w:bCs/>
          <w:color w:val="1E3A5F"/>
          <w:sz w:val="28"/>
          <w:szCs w:val="28"/>
        </w:rPr>
        <w:t xml:space="preserve">7.9 Tabla de referencia rápida de métricas PAC</w:t>
      </w:r>
    </w:p>
    <w:p>
      <w:pPr>
        <w:spacing w:after="160" w:before="0"/>
      </w:pPr>
      <w:r>
        <w:rPr>
          <w:rFonts w:ascii="Arial" w:cs="Arial" w:eastAsia="Arial" w:hAnsi="Arial"/>
          <w:sz w:val="22"/>
          <w:szCs w:val="22"/>
        </w:rPr>
        <w:t xml:space="preserve">La Tabla 7.2 consolida los rangos de interpretación de las métricas principales que produce la PAC App, con el objetivo de facilitar la lectura clínica directa sin necesidad de consultar los capítulos de análisis. Los rangos derivan de la lógica del corpus (560 noches, 12 pacientes) y de los hallazgos de Cap04–Cap06; no son umbrales diagnósticos validados prospectivamente.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70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Métrica</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Rango / Valor</w:t>
            </w:r>
          </w:p>
        </w:tc>
        <w:tc>
          <w:tcPr>
            <w:tcW w:type="dxa" w:w="3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0–30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Bajo — noche con baja carga hipóxica y morfotipos predominantemente C1/C2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31–60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Moderado — presencia de morfotipos C3 y algún C4/C5; dinámica de estados variable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61–100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Alto — concentración de morfotipos C4/C5, estados M1/M3 dominantes, carga hipóxica elevada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Baja frecuencia de desaturaciones (umbral ≥2pp)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5–15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Frecuencia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frecuencia — considerar cotejo con ODI3 clínico (umbral ≥3pp)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nocturna mínima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1–5%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leve-moderada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significativa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NaN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Sin eventos C4/C5 en la noche — baja severidad morfológica (característica, no error)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0.0–0.3</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Bajo acoplamiento — eventos severos en contexto M no patológico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0.3–0.7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Acoplamiento moderado — riesgo episódico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0.7–1.0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Alto acoplamiento — riesgo estructural; eventos severos en M1/M3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CI_L (L-scale)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Arquitectura global protectora — eventos severos en bloques L no patológicos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CI_L (L-scale)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Arquitectura global comprometida — eventos severos en L0/L1 (hipoxemia sostenida)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0.8</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de régimen sostenido — dominancia de uno o dos estados 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0.8–1.4</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Variabilidad fisiológica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1.4  (máx. 1.609)</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variabilidad entre estados — distribución próxima a la uniforme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30%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rígida — el sistema se sostiene en pocos estados sin cambiar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30–55%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Dinámica moderada — bloques organizados con transiciones regulares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55–75%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fragmentada — switching frecuente entre estados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75%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fragmentación — próxima al baseline aleatorio para K=5 (~80%)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Estable-Protector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Dominio de estados M0/M2; baja carga hipóxica; riesgo estructural bajo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Carga Intermedia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Alternancia M0/M3; severidad variable; perfil de riesgo moderado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Carga Hipóxica Alta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Dominio M1; alta fracción C4/C5; Risk Score típicamente &gt; 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 0.70 + CI_L ≥ 0.50 + RS &lt; 61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Discordancia estructural — eventos severos acoplados en M y L patológicos; score puede subestimar carga estructural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 0.70 + CI_L &lt; 0.50 + RS &lt; 61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Discordancia media — riesgo episódico en escala M; arquitectura global relativamente protectora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RS ≥ 61 (cualquier CI)</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Sin alerta — frecuencia de C4/C5 suficiente para que el score capture el riesgo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registro corto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Duración &lt; 4h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Menor estabilidad estadística de los estados M (~31 ventanas vs ~100 en entrenamiento); CI indices no informativos por baja exposición temporal; Risk Score orientativo — considerar repetir el registro</w:t>
            </w:r>
          </w:p>
        </w:tc>
      </w:tr>
    </w:tbl>
    <w:p>
      <w:pPr>
        <w:spacing w:after="160" w:before="0"/>
      </w:pPr>
      <w:r>
        <w:rPr>
          <w:rFonts w:ascii="Arial" w:cs="Arial" w:eastAsia="Arial" w:hAnsi="Arial"/>
          <w:i/>
          <w:iCs/>
          <w:sz w:val="22"/>
          <w:szCs w:val="22"/>
        </w:rPr>
        <w:t xml:space="preserve">Nota: Los rangos de CI_M, Transiciones M y umbrales de discordancia son orientativos, derivados de la lógica del corpus PAC_v3. No han sido validados como umbrales diagnósticos en cohortes independientes. El ODI₂ no es equivalente al ODI3 clínico (umbral ≥3pp); para comparación con PSG o dispositivo SOMNI 6000, referirse al subconjunto ODI3 calculado en los cuadernos NB03.</w:t>
      </w:r>
    </w:p>
    <w:p>
      <w:pPr>
        <w:pStyle w:val="Heading1"/>
        <w:spacing w:after="120" w:before="360"/>
      </w:pPr>
      <w:r>
        <w:rPr>
          <w:rFonts w:ascii="Arial" w:cs="Arial" w:eastAsia="Arial" w:hAnsi="Arial"/>
          <w:b/>
          <w:bCs/>
          <w:color w:val="1E3A5F"/>
          <w:sz w:val="28"/>
          <w:szCs w:val="28"/>
        </w:rPr>
        <w:t xml:space="preserve">Referencias</w:t>
      </w:r>
    </w:p>
    <w:p>
      <w:pPr>
        <w:spacing w:after="160" w:before="0"/>
      </w:pPr>
      <w:r>
        <w:rPr>
          <w:rFonts w:ascii="Arial" w:cs="Arial" w:eastAsia="Arial" w:hAnsi="Arial"/>
          <w:sz w:val="22"/>
          <w:szCs w:val="22"/>
        </w:rPr>
        <w:t xml:space="preserve">Brown, T. B., Mann, B., Ryder, N., Subbiah, M., Kaplan, J., Dhariwal, P., Neelakantan, A., Shyam, P., Sastry, G., Askell, A., Agarwal, S., Herbert-Voss, A., Krueger, G., Henighan, T., Child, R., Ramesh, A., Ziegler, D. M., Wu, J., Winter, C., … Amodei, D. (2020). Language models are few-shot learners. </w:t>
      </w:r>
      <w:r>
        <w:rPr>
          <w:rFonts w:ascii="Arial" w:cs="Arial" w:eastAsia="Arial" w:hAnsi="Arial"/>
          <w:i/>
          <w:iCs/>
          <w:sz w:val="22"/>
          <w:szCs w:val="22"/>
        </w:rPr>
        <w:t xml:space="preserve">Advances in Neural Information Processing Systems, 33</w:t>
      </w:r>
      <w:r>
        <w:rPr>
          <w:rFonts w:ascii="Arial" w:cs="Arial" w:eastAsia="Arial" w:hAnsi="Arial"/>
          <w:sz w:val="22"/>
          <w:szCs w:val="22"/>
        </w:rPr>
        <w:t xml:space="preserve">, 1877–1901.</w:t>
      </w:r>
    </w:p>
    <w:p>
      <w:pPr>
        <w:spacing w:after="160" w:before="0"/>
      </w:pPr>
      <w:r>
        <w:rPr>
          <w:rFonts w:ascii="Arial" w:cs="Arial" w:eastAsia="Arial" w:hAnsi="Arial"/>
          <w:sz w:val="22"/>
          <w:szCs w:val="22"/>
        </w:rPr>
        <w:t xml:space="preserve">Cai, C. J., Winter, S., Steiner, D., Wilcox, L., &amp; Terry, M. (2019). «Hello AI»: uncovering the onboarding needs of medical practitioners for human-AI collaborative decision-making. </w:t>
      </w:r>
      <w:r>
        <w:rPr>
          <w:rFonts w:ascii="Arial" w:cs="Arial" w:eastAsia="Arial" w:hAnsi="Arial"/>
          <w:i/>
          <w:iCs/>
          <w:sz w:val="22"/>
          <w:szCs w:val="22"/>
        </w:rPr>
        <w:t xml:space="preserve">Proceedings of the ACM on Human-Computer Interaction, 3</w:t>
      </w:r>
      <w:r>
        <w:rPr>
          <w:rFonts w:ascii="Arial" w:cs="Arial" w:eastAsia="Arial" w:hAnsi="Arial"/>
          <w:sz w:val="22"/>
          <w:szCs w:val="22"/>
        </w:rPr>
        <w:t xml:space="preserve">(CSCW), 1–24. https://doi.org/10.1145/3359206</w:t>
      </w:r>
    </w:p>
    <w:p>
      <w:pPr>
        <w:spacing w:after="160" w:before="0"/>
      </w:pPr>
      <w:r>
        <w:rPr>
          <w:rFonts w:ascii="Arial" w:cs="Arial" w:eastAsia="Arial" w:hAnsi="Arial"/>
          <w:sz w:val="22"/>
          <w:szCs w:val="22"/>
        </w:rPr>
        <w:t xml:space="preserve">Collins, G. S., Reitsma, J. B., Altman, D. G., &amp; Moons, K. G. (2015). Transparent reporting of a multivariable prediction model for individual prognosis or diagnosis (TRIPOD): the TRIPOD statement. </w:t>
      </w:r>
      <w:r>
        <w:rPr>
          <w:rFonts w:ascii="Arial" w:cs="Arial" w:eastAsia="Arial" w:hAnsi="Arial"/>
          <w:i/>
          <w:iCs/>
          <w:sz w:val="22"/>
          <w:szCs w:val="22"/>
        </w:rPr>
        <w:t xml:space="preserve">BMJ, 350</w:t>
      </w:r>
      <w:r>
        <w:rPr>
          <w:rFonts w:ascii="Arial" w:cs="Arial" w:eastAsia="Arial" w:hAnsi="Arial"/>
          <w:sz w:val="22"/>
          <w:szCs w:val="22"/>
        </w:rPr>
        <w:t xml:space="preserve">, g7594. https://doi.org/10.1136/bmj.g7594</w:t>
      </w:r>
    </w:p>
    <w:p>
      <w:pPr>
        <w:spacing w:after="160" w:before="0"/>
      </w:pPr>
      <w:r>
        <w:rPr>
          <w:rFonts w:ascii="Arial" w:cs="Arial" w:eastAsia="Arial" w:hAnsi="Arial"/>
          <w:sz w:val="22"/>
          <w:szCs w:val="22"/>
        </w:rPr>
        <w:t xml:space="preserve">Ke, G., Meng, Q., Finley, T., Wang, T., Chen, W., Ma, W., Ye, Q., &amp; Liu, T.-Y. (2017). LightGBM: a highly efficient gradient boosting decision tree. </w:t>
      </w:r>
      <w:r>
        <w:rPr>
          <w:rFonts w:ascii="Arial" w:cs="Arial" w:eastAsia="Arial" w:hAnsi="Arial"/>
          <w:i/>
          <w:iCs/>
          <w:sz w:val="22"/>
          <w:szCs w:val="22"/>
        </w:rPr>
        <w:t xml:space="preserve">Advances in Neural Information Processing Systems, 30</w:t>
      </w:r>
      <w:r>
        <w:rPr>
          <w:rFonts w:ascii="Arial" w:cs="Arial" w:eastAsia="Arial" w:hAnsi="Arial"/>
          <w:sz w:val="22"/>
          <w:szCs w:val="22"/>
        </w:rPr>
        <w:t xml:space="preserve">, 3146–3154.</w:t>
      </w:r>
    </w:p>
    <w:p>
      <w:pPr>
        <w:spacing w:after="160" w:before="0"/>
      </w:pPr>
      <w:r>
        <w:rPr>
          <w:rFonts w:ascii="Arial" w:cs="Arial" w:eastAsia="Arial" w:hAnsi="Arial"/>
          <w:sz w:val="22"/>
          <w:szCs w:val="22"/>
        </w:rPr>
        <w:t xml:space="preserve">McKinney, W. (2010). Data structures for statistical computing in Python. </w:t>
      </w:r>
      <w:r>
        <w:rPr>
          <w:rFonts w:ascii="Arial" w:cs="Arial" w:eastAsia="Arial" w:hAnsi="Arial"/>
          <w:i/>
          <w:iCs/>
          <w:sz w:val="22"/>
          <w:szCs w:val="22"/>
        </w:rPr>
        <w:t xml:space="preserve">Proceedings of the 9th Python in Science Conference</w:t>
      </w:r>
      <w:r>
        <w:rPr>
          <w:rFonts w:ascii="Arial" w:cs="Arial" w:eastAsia="Arial" w:hAnsi="Arial"/>
          <w:sz w:val="22"/>
          <w:szCs w:val="22"/>
        </w:rPr>
        <w:t xml:space="preserve">, 56–61.</w:t>
      </w:r>
    </w:p>
    <w:p>
      <w:pPr>
        <w:spacing w:after="160" w:before="0"/>
      </w:pPr>
      <w:r>
        <w:rPr>
          <w:rFonts w:ascii="Arial" w:cs="Arial" w:eastAsia="Arial" w:hAnsi="Arial"/>
          <w:sz w:val="22"/>
          <w:szCs w:val="22"/>
        </w:rPr>
        <w:t xml:space="preserve">Plotly Technologies Inc. (2015). </w:t>
      </w:r>
      <w:r>
        <w:rPr>
          <w:rFonts w:ascii="Arial" w:cs="Arial" w:eastAsia="Arial" w:hAnsi="Arial"/>
          <w:i/>
          <w:iCs/>
          <w:sz w:val="22"/>
          <w:szCs w:val="22"/>
        </w:rPr>
        <w:t xml:space="preserve">Collaborative data science</w:t>
      </w:r>
      <w:r>
        <w:rPr>
          <w:rFonts w:ascii="Arial" w:cs="Arial" w:eastAsia="Arial" w:hAnsi="Arial"/>
          <w:sz w:val="22"/>
          <w:szCs w:val="22"/>
        </w:rPr>
        <w:t xml:space="preserve">. https://plot.ly</w:t>
      </w:r>
    </w:p>
    <w:p>
      <w:pPr>
        <w:spacing w:after="160" w:before="0"/>
      </w:pPr>
      <w:r>
        <w:rPr>
          <w:rFonts w:ascii="Arial" w:cs="Arial" w:eastAsia="Arial" w:hAnsi="Arial"/>
          <w:sz w:val="22"/>
          <w:szCs w:val="22"/>
        </w:rPr>
        <w:t xml:space="preserve">Sendak, M. P., Elish, M. C., Gao, M., Futoma, J., Ratliff, W., Nichols, M., Bedoya, A., Balu, S., &amp; O'Brien, C. (2020). «The human body is a black box»: supporting clinical decision-making with deep learning. </w:t>
      </w:r>
      <w:r>
        <w:rPr>
          <w:rFonts w:ascii="Arial" w:cs="Arial" w:eastAsia="Arial" w:hAnsi="Arial"/>
          <w:i/>
          <w:iCs/>
          <w:sz w:val="22"/>
          <w:szCs w:val="22"/>
        </w:rPr>
        <w:t xml:space="preserve">Proceedings of the 2020 Conference on Fairness, Accountability, and Transparency</w:t>
      </w:r>
      <w:r>
        <w:rPr>
          <w:rFonts w:ascii="Arial" w:cs="Arial" w:eastAsia="Arial" w:hAnsi="Arial"/>
          <w:sz w:val="22"/>
          <w:szCs w:val="22"/>
        </w:rPr>
        <w:t xml:space="preserve">, 99–109. https://doi.org/10.1145/3351095.3372827</w:t>
      </w:r>
    </w:p>
    <w:p>
      <w:pPr>
        <w:spacing w:after="160" w:before="0"/>
      </w:pPr>
      <w:r>
        <w:rPr>
          <w:rFonts w:ascii="Arial" w:cs="Arial" w:eastAsia="Arial" w:hAnsi="Arial"/>
          <w:sz w:val="22"/>
          <w:szCs w:val="22"/>
        </w:rPr>
        <w:t xml:space="preserve">Streamlit Inc. (2019). </w:t>
      </w:r>
      <w:r>
        <w:rPr>
          <w:rFonts w:ascii="Arial" w:cs="Arial" w:eastAsia="Arial" w:hAnsi="Arial"/>
          <w:i/>
          <w:iCs/>
          <w:sz w:val="22"/>
          <w:szCs w:val="22"/>
        </w:rPr>
        <w:t xml:space="preserve">Streamlit: the fastest way to build and share data apps</w:t>
      </w:r>
      <w:r>
        <w:rPr>
          <w:rFonts w:ascii="Arial" w:cs="Arial" w:eastAsia="Arial" w:hAnsi="Arial"/>
          <w:sz w:val="22"/>
          <w:szCs w:val="22"/>
        </w:rPr>
        <w:t xml:space="preserve">. https://streamlit.io</w:t>
      </w:r>
    </w:p>
    <w:p>
      <w:pPr>
        <w:spacing w:after="160" w:before="0"/>
      </w:pPr>
      <w:r>
        <w:rPr>
          <w:rFonts w:ascii="Arial" w:cs="Arial" w:eastAsia="Arial" w:hAnsi="Arial"/>
          <w:sz w:val="22"/>
          <w:szCs w:val="22"/>
        </w:rPr>
        <w:t xml:space="preserve">Topol, E. J. (2019). High-performance medicine: the convergence of human and artificial intelligence. </w:t>
      </w:r>
      <w:r>
        <w:rPr>
          <w:rFonts w:ascii="Arial" w:cs="Arial" w:eastAsia="Arial" w:hAnsi="Arial"/>
          <w:i/>
          <w:iCs/>
          <w:sz w:val="22"/>
          <w:szCs w:val="22"/>
        </w:rPr>
        <w:t xml:space="preserve">Nature Medicine, 25</w:t>
      </w:r>
      <w:r>
        <w:rPr>
          <w:rFonts w:ascii="Arial" w:cs="Arial" w:eastAsia="Arial" w:hAnsi="Arial"/>
          <w:sz w:val="22"/>
          <w:szCs w:val="22"/>
        </w:rPr>
        <w:t xml:space="preserve">(1), 44–56. https://doi.org/10.1038/s41591-018-0300-7</w:t>
      </w:r>
    </w:p>
    <w:p>
      <w:pPr>
        <w:spacing w:after="160" w:before="0"/>
      </w:pPr>
      <w:r>
        <w:rPr>
          <w:rFonts w:ascii="Arial" w:cs="Arial" w:eastAsia="Arial" w:hAnsi="Arial"/>
          <w:sz w:val="22"/>
          <w:szCs w:val="22"/>
        </w:rPr>
        <w:t xml:space="preserve">Vasey, B., Nagendran, M., Campbell, B., Clifton, D. A., Collins, G. S., Denaxas, S., Denniston, A. K., Faes, L., Geerts, H., Ibrahim, M., Liu, X., Mateen, B. A., Mathur, P., McCradden, M. D., Morgan, L., Pinnock, H., Porteous, A., Rittscher, J., Robinson, K., … DECIDE-AI Expert Group. (2022). Reporting guideline for the early-stage clinical evaluation of decision support systems driven by artificial intelligence: DECIDE-AI. </w:t>
      </w:r>
      <w:r>
        <w:rPr>
          <w:rFonts w:ascii="Arial" w:cs="Arial" w:eastAsia="Arial" w:hAnsi="Arial"/>
          <w:i/>
          <w:iCs/>
          <w:sz w:val="22"/>
          <w:szCs w:val="22"/>
        </w:rPr>
        <w:t xml:space="preserve">Nature Medicine, 28</w:t>
      </w:r>
      <w:r>
        <w:rPr>
          <w:rFonts w:ascii="Arial" w:cs="Arial" w:eastAsia="Arial" w:hAnsi="Arial"/>
          <w:sz w:val="22"/>
          <w:szCs w:val="22"/>
        </w:rPr>
        <w:t xml:space="preserve">(5), 924–933. https://doi.org/10.1038/s41591-022-01772-9</w:t>
      </w:r>
    </w:p>
    <w:p>
      <w:pPr>
        <w:spacing w:after="160" w:before="0"/>
      </w:pPr>
      <w:r>
        <w:rPr>
          <w:rFonts w:ascii="Arial" w:cs="Arial" w:eastAsia="Arial" w:hAnsi="Arial"/>
          <w:sz w:val="22"/>
          <w:szCs w:val="22"/>
        </w:rPr>
        <w:t xml:space="preserve">Wasserstein, R. L., &amp; Lazar, N. A. (2016). The ASA statement on p-values: context, process, and purpose. </w:t>
      </w:r>
      <w:r>
        <w:rPr>
          <w:rFonts w:ascii="Arial" w:cs="Arial" w:eastAsia="Arial" w:hAnsi="Arial"/>
          <w:i/>
          <w:iCs/>
          <w:sz w:val="22"/>
          <w:szCs w:val="22"/>
        </w:rPr>
        <w:t xml:space="preserve">The American Statistician, 70</w:t>
      </w:r>
      <w:r>
        <w:rPr>
          <w:rFonts w:ascii="Arial" w:cs="Arial" w:eastAsia="Arial" w:hAnsi="Arial"/>
          <w:sz w:val="22"/>
          <w:szCs w:val="22"/>
        </w:rPr>
        <w:t xml:space="preserve">(2), 129–133.</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6" w:space="1"/>
      </w:pBdr>
      <w:jc w:val="right"/>
    </w:pPr>
    <w:r>
      <w:rPr>
        <w:rFonts w:ascii="Arial" w:cs="Arial" w:eastAsia="Arial" w:hAnsi="Arial"/>
        <w:color w:val="6B7280"/>
        <w:sz w:val="18"/>
        <w:szCs w:val="18"/>
      </w:rPr>
      <w:t xml:space="preserve">Roberto Inza · Universidad Austral · 2026 · Pág.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Los valores reportados en §7.5 (Pac145: 87 EDOs, ODI₂ 10.4 ev/h, T90 4.2%, ci_m 0.82, tiempo de procesamiento 18 s) son valores ilustrativos dentro del rango observado en la cohorte (560 noches, 12 pacientes). No corresponden a un registro real identificado: se construyeron seleccionando parámetros representativos de una noche de fenotipo Carga Hipóxica Alta, coherentes con las distribuciones reportadas en Cap06 §6.7 (nights.parquet, NB05). Los valores son coherentes con las distribuciones de nights.parquet reportadas en Cap06 §6.7.</w:t>
      </w:r>
    </w:p>
  </w:footnote>
  <w:footnote w:id="2">
    <w:p>
      <w:r>
        <w:rPr>
          <w:rStyle w:val="FootnoteReference"/>
        </w:rPr>
        <w:footnoteRef/>
      </w:r>
      <w:r>
        <w:rPr>
          <w:rFonts w:ascii="Arial" w:cs="Arial" w:eastAsia="Arial" w:hAnsi="Arial"/>
          <w:sz w:val="18"/>
          <w:szCs w:val="18"/>
        </w:rPr>
        <w:t xml:space="preserve">La paráfrasis del informe generado en §7.5 es representativa del tipo de texto producido por el módulo de Informe IA sobre noches de fenotipo CHA, pero no transcribe literalmente la salida de ningún examen específico. El módulo fue probado sobre noches de la cohorte durante el desarrollo; los outputs reales están disponibles en el repositorio del proyecto (/outputs/informes_prueba/).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6" w:space="1"/>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7 — Interfaz Clínica Interactiva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2026-05-31T20:44:11.233Z</dcterms:created>
  <dcterms:modified xsi:type="dcterms:W3CDTF">2026-05-31T20:44:11.233Z</dcterms:modified>
</cp:coreProperties>
</file>

<file path=docProps/custom.xml><?xml version="1.0" encoding="utf-8"?>
<Properties xmlns="http://schemas.openxmlformats.org/officeDocument/2006/custom-properties" xmlns:vt="http://schemas.openxmlformats.org/officeDocument/2006/docPropsVTypes"/>
</file>