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CAPÍTULO 7</w:t>
      </w:r>
    </w:p>
    <w:p>
      <w:pPr>
        <w:spacing w:after="80"/>
        <w:jc w:val="center"/>
      </w:pPr>
      <w:r>
        <w:rPr>
          <w:rFonts w:ascii="Times New Roman" w:cs="Times New Roman" w:eastAsia="Times New Roman" w:hAnsi="Times New Roman"/>
          <w:b/>
          <w:bCs/>
          <w:sz w:val="32"/>
          <w:szCs w:val="32"/>
        </w:rPr>
        <w:t xml:space="preserve">Interfaz Clínica Interactiva: PAC App</w:t>
      </w:r>
    </w:p>
    <w:p>
      <w:pPr>
        <w:spacing w:after="400"/>
        <w:jc w:val="center"/>
      </w:pPr>
      <w:r>
        <w:rPr>
          <w:rFonts w:ascii="Times New Roman" w:cs="Times New Roman" w:eastAsia="Times New Roman" w:hAnsi="Times New Roman"/>
          <w:i/>
          <w:iCs/>
          <w:color w:val="666666"/>
          <w:sz w:val="24"/>
          <w:szCs w:val="24"/>
        </w:rPr>
        <w:t xml:space="preserve">Versión 3  ·  Junio 2026</w:t>
      </w:r>
    </w:p>
    <w:p>
      <w:pPr>
        <w:spacing w:after="200" w:before="0" w:line="360" w:lineRule="auto"/>
        <w:jc w:val="both"/>
      </w:pPr>
      <w:r>
        <w:rPr>
          <w:rFonts w:ascii="Times New Roman" w:cs="Times New Roman" w:eastAsia="Times New Roman" w:hAnsi="Times New Roman"/>
          <w:sz w:val="24"/>
          <w:szCs w:val="24"/>
        </w:rPr>
        <w:t xml:space="preserve">Los capítulos precedentes construyeron un conjunto de representaciones analíticas de la fisiología nocturna del SAOS: morfotipos de curvas SpO₂ (Cap04), el ARI (Cap04), los estados PAC en tres escalas (Cap05) y el Risk Score nocturno (Cap06). Estas representaciones, rigurosas computacionalmente, requieren una interfaz de traducción para ser utilizables en el flujo clínico. El presente capítulo describe el desarrollo de la PAC App, una aplicación web interactiva implementada en Streamlit sobre Python, que responde a una pregunta de investigación específica: ¿pueden las representaciones analíticas del sistema PAC —desarrolladas para operar sobre cohortes completas en modo batch— producir valor interpretativo sobre la noche individual de un paciente, en el tiempo y el formato que requiere el flujo clínico? Esta pregunta no está resuelta por Cap04–06, que devuelven artefactos orientados al investigador (tablas Parquet, gráficos de Jupyter). La contribución de este capítulo no es algorítmica —los algoritmos están en Cap04–06— sino de traducibilidad clínica.</w:t>
      </w:r>
    </w:p>
    <w:p>
      <w:pPr>
        <w:pStyle w:val="Heading2"/>
        <w:spacing w:after="120" w:before="300"/>
      </w:pPr>
      <w:r>
        <w:rPr>
          <w:rFonts w:ascii="Times New Roman" w:cs="Times New Roman" w:eastAsia="Times New Roman" w:hAnsi="Times New Roman"/>
          <w:b/>
          <w:bCs/>
          <w:sz w:val="26"/>
          <w:szCs w:val="26"/>
        </w:rPr>
        <w:t xml:space="preserve">7.1  Motivación y objetivos</w:t>
      </w:r>
    </w:p>
    <w:p>
      <w:pPr>
        <w:spacing w:after="200" w:before="0" w:line="360" w:lineRule="auto"/>
        <w:jc w:val="both"/>
      </w:pPr>
      <w:r>
        <w:rPr>
          <w:rFonts w:ascii="Times New Roman" w:cs="Times New Roman" w:eastAsia="Times New Roman" w:hAnsi="Times New Roman"/>
          <w:sz w:val="24"/>
          <w:szCs w:val="24"/>
        </w:rPr>
        <w:t xml:space="preserve">El análisis de los capítulos anteriores operó sobre la cohorte completa procesando simultáneamente las 560 noches disponibles. Este modo, apropiado para la investigación, no es compatible con el flujo clínico real, en el que el especialista recibe noche a noche el archivo Excel del SOMNI 6000 para un paciente individual. La PAC App toma ese mismo archivo, ejecuta el pipeline PAC_v3 sobre esa única noche y devuelve una interpretación estructurada en menos de 60 segundos en hardware estándar. Los objetivos de la interfaz son tres:</w:t>
      </w:r>
    </w:p>
    <w:p>
      <w:pPr>
        <w:spacing w:after="40" w:before="40"/>
        <w:ind w:left="720" w:hanging="360"/>
        <w:jc w:val="both"/>
      </w:pPr>
      <w:r>
        <w:rPr>
          <w:rFonts w:ascii="Times New Roman" w:cs="Times New Roman" w:eastAsia="Times New Roman" w:hAnsi="Times New Roman"/>
          <w:sz w:val="24"/>
          <w:szCs w:val="24"/>
        </w:rPr>
        <w:t xml:space="preserve">(1)  Procesamiento individual: ejecutar el pipeline completo —ingesta, control de calidad, detección de EDOs, clasificación de morfotipos, asignación de estados PAC y predicción— sobre una sola noche.</w:t>
      </w:r>
    </w:p>
    <w:p>
      <w:pPr>
        <w:spacing w:after="40" w:before="40"/>
        <w:ind w:left="720" w:hanging="360"/>
        <w:jc w:val="both"/>
      </w:pPr>
      <w:r>
        <w:rPr>
          <w:rFonts w:ascii="Times New Roman" w:cs="Times New Roman" w:eastAsia="Times New Roman" w:hAnsi="Times New Roman"/>
          <w:sz w:val="24"/>
          <w:szCs w:val="24"/>
        </w:rPr>
        <w:t xml:space="preserve">(2)  Visualización interactiva: exponer las representaciones PAC en gráficos Plotly interactivos que permitan explorar la señal, los eventos y la trayectoria nocturna a distintos niveles de granularidad.</w:t>
      </w:r>
    </w:p>
    <w:p>
      <w:pPr>
        <w:spacing w:after="40" w:before="40"/>
        <w:ind w:left="720" w:hanging="360"/>
        <w:jc w:val="both"/>
      </w:pPr>
      <w:r>
        <w:rPr>
          <w:rFonts w:ascii="Times New Roman" w:cs="Times New Roman" w:eastAsia="Times New Roman" w:hAnsi="Times New Roman"/>
          <w:sz w:val="24"/>
          <w:szCs w:val="24"/>
        </w:rPr>
        <w:t xml:space="preserve">(3)  Generación de informe: producir, mediante un modelo de lenguaje, un informe narrativo estructurado en dos audiencias —el especialista y el paciente— descargable en formato Word.</w:t>
      </w:r>
    </w:p>
    <w:p>
      <w:pPr>
        <w:pStyle w:val="Heading2"/>
        <w:spacing w:after="120" w:before="300"/>
      </w:pPr>
      <w:r>
        <w:rPr>
          <w:rFonts w:ascii="Times New Roman" w:cs="Times New Roman" w:eastAsia="Times New Roman" w:hAnsi="Times New Roman"/>
          <w:b/>
          <w:bCs/>
          <w:sz w:val="26"/>
          <w:szCs w:val="26"/>
        </w:rPr>
        <w:t xml:space="preserve">7.2  Arquitectura del sistema</w:t>
      </w:r>
    </w:p>
    <w:p>
      <w:pPr>
        <w:spacing w:after="200" w:before="0" w:line="360" w:lineRule="auto"/>
        <w:jc w:val="both"/>
      </w:pPr>
      <w:r>
        <w:rPr>
          <w:rFonts w:ascii="Times New Roman" w:cs="Times New Roman" w:eastAsia="Times New Roman" w:hAnsi="Times New Roman"/>
          <w:sz w:val="24"/>
          <w:szCs w:val="24"/>
        </w:rPr>
        <w:t xml:space="preserve">La aplicación se construyó sobre Streamlit, elegido por su integración nativa con el ecosistema Python del pipeline y con Plotly, y por su modelo de ejecución reactivo que simplifica la invalidación de caché. El sistema se organiza en cuatro capas: (1) módulos core (src/pac/), compartidos con el pipeline de investigación NB01–NB07, que garantizan que los resultados de la app sean idénticos a los producidos por los cuadernos de análisis sin reimplementación paralela; (2) pipeline de aplicación (app/pipeline.py), orquestador delgado que invoca los módulos core y devuelve un diccionario único de resultados estructurado por niveles; (3) capa de presentación (app/app.py), interfaz organizada en cinco pestañas con cacheo parametrizado por hash del archivo y constante de versión; y (4) artefactos de modelos (models/), que incluyen los modelos K-means de morfotipos y estados, los modelos LightGBM y regresión logística, y los arrays de percentiles del ARI necesarios para el recómputo en tiempo real.</w:t>
      </w:r>
    </w:p>
    <w:p>
      <w:pPr>
        <w:spacing w:after="160" w:before="80"/>
      </w:pPr>
      <w:r>
        <w:rPr>
          <w:rFonts w:ascii="Times New Roman" w:cs="Times New Roman" w:eastAsia="Times New Roman" w:hAnsi="Times New Roman"/>
          <w:i/>
          <w:iCs/>
          <w:color w:val="555555"/>
          <w:sz w:val="20"/>
          <w:szCs w:val="20"/>
        </w:rPr>
        <w:t xml:space="preserve">▸ Figura complementaria en Anexo: Fig. 7.1 (arquitectura de capas de la PAC App).</w:t>
      </w:r>
    </w:p>
    <w:p>
      <w:pPr>
        <w:pStyle w:val="Heading2"/>
        <w:spacing w:after="120" w:before="300"/>
      </w:pPr>
      <w:r>
        <w:rPr>
          <w:rFonts w:ascii="Times New Roman" w:cs="Times New Roman" w:eastAsia="Times New Roman" w:hAnsi="Times New Roman"/>
          <w:b/>
          <w:bCs/>
          <w:sz w:val="26"/>
          <w:szCs w:val="26"/>
        </w:rPr>
        <w:t xml:space="preserve">7.3  Interfaz de usuario: cinco pestañas</w:t>
      </w:r>
    </w:p>
    <w:p>
      <w:pPr>
        <w:spacing w:after="200" w:before="0" w:line="360" w:lineRule="auto"/>
        <w:jc w:val="both"/>
      </w:pPr>
      <w:r>
        <w:rPr>
          <w:rFonts w:ascii="Times New Roman" w:cs="Times New Roman" w:eastAsia="Times New Roman" w:hAnsi="Times New Roman"/>
          <w:sz w:val="24"/>
          <w:szCs w:val="24"/>
        </w:rPr>
        <w:t xml:space="preserve">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pPr>
        <w:spacing w:after="60" w:before="200"/>
      </w:pPr>
      <w:r>
        <w:rPr>
          <w:rFonts w:ascii="Times New Roman" w:cs="Times New Roman" w:eastAsia="Times New Roman" w:hAnsi="Times New Roman"/>
          <w:b/>
          <w:bCs/>
          <w:sz w:val="20"/>
          <w:szCs w:val="20"/>
        </w:rPr>
        <w:t xml:space="preserve">Tabla 7.1. Descripción de las cinco pestañas de la PAC 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Pestaña</w:t>
            </w:r>
          </w:p>
        </w:tc>
        <w:tc>
          <w:tcPr>
            <w:tcW w:type="dxa" w:w="6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Contenido y función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Resumen</w:t>
            </w:r>
          </w:p>
        </w:tc>
        <w:tc>
          <w:tcPr>
            <w:tcW w:type="dxa" w:w="6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Eventos y Morfotipos</w:t>
            </w:r>
          </w:p>
        </w:tc>
        <w:tc>
          <w:tcPr>
            <w:tcW w:type="dxa" w:w="6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Distribución C1–C5 (gráfico de anillo + box plot profundidad nadir). Timeline de eventos coloreado por morfotipo. Probabilidad P(severo) por evento (LightGBM), con indicación de riesgo contextual oculto cuando eventos leves ocurren en contextos patológicos.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Estados PAC</w:t>
            </w:r>
          </w:p>
        </w:tc>
        <w:tc>
          <w:tcPr>
            <w:tcW w:type="dxa" w:w="6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Distribución de tiempo en estados por escala (S/M/L) con marcado de estados patológicos. Evolución temporal del estado activo. Matriz de transición normalizada como heatmap.</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Historia Nocturna</w:t>
            </w:r>
          </w:p>
        </w:tc>
        <w:tc>
          <w:tcPr>
            <w:tcW w:type="dxa" w:w="6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Gráfico integrado: señal SpO₂ + bandas de estado M + eventos por morfotipo superpuestos en el mismo eje temporal. Cinco métricas de acoplamiento (CI_S, CI_M, CI_L, entropía M, transiciones M). Sub-pestaña de detalle SpO₂ + estado M + P(severo) con eje compartido.</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Informe IA</w:t>
            </w:r>
          </w:p>
        </w:tc>
        <w:tc>
          <w:tcPr>
            <w:tcW w:type="dxa" w:w="6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Generación de informe narrativo estructurado mediante LLM (backend local LM Studio o Claude API). Selección de audiencia: especialista o paciente. Descarga en formato Word.</w:t>
            </w:r>
          </w:p>
        </w:tc>
      </w:tr>
    </w:tbl>
    <w:p>
      <w:pPr>
        <w:spacing w:after="100" w:before="0" w:line="300" w:lineRule="auto"/>
        <w:jc w:val="both"/>
      </w:pPr>
      <w:r>
        <w:rPr>
          <w:rFonts w:ascii="Times New Roman" w:cs="Times New Roman" w:eastAsia="Times New Roman" w:hAnsi="Times New Roman"/>
          <w:i/>
          <w:iCs/>
          <w:sz w:val="20"/>
          <w:szCs w:val="20"/>
        </w:rPr>
        <w:t xml:space="preserve">Nota. ODI₂: índice de frecuencia con umbral permisivo ≥ 2 pp (distinto del ODI3 clínico). CI: Coupling Index por escala (§6.3). P(severo): probabilidad predicha por LightGBM de morfotipo C4+C5.</w:t>
      </w:r>
    </w:p>
    <w:p>
      <w:pPr>
        <w:spacing w:after="160" w:before="80"/>
      </w:pPr>
      <w:r>
        <w:rPr>
          <w:rFonts w:ascii="Times New Roman" w:cs="Times New Roman" w:eastAsia="Times New Roman" w:hAnsi="Times New Roman"/>
          <w:i/>
          <w:iCs/>
          <w:color w:val="555555"/>
          <w:sz w:val="20"/>
          <w:szCs w:val="20"/>
        </w:rPr>
        <w:t xml:space="preserve">▸ Figuras complementarias en Anexo: Fig. 7.2 (vista general), Fig. 7.3–7.7 (capturas de cada pestaña).</w:t>
      </w:r>
    </w:p>
    <w:p>
      <w:pPr>
        <w:pStyle w:val="Heading2"/>
        <w:spacing w:after="120" w:before="300"/>
      </w:pPr>
      <w:r>
        <w:rPr>
          <w:rFonts w:ascii="Times New Roman" w:cs="Times New Roman" w:eastAsia="Times New Roman" w:hAnsi="Times New Roman"/>
          <w:b/>
          <w:bCs/>
          <w:sz w:val="26"/>
          <w:szCs w:val="26"/>
        </w:rPr>
        <w:t xml:space="preserve">7.4  Caso de uso ilustrativo</w:t>
      </w:r>
    </w:p>
    <w:p>
      <w:pPr>
        <w:spacing w:after="200" w:before="0" w:line="360" w:lineRule="auto"/>
        <w:jc w:val="both"/>
      </w:pPr>
      <w:r>
        <w:rPr>
          <w:rFonts w:ascii="Times New Roman" w:cs="Times New Roman" w:eastAsia="Times New Roman" w:hAnsi="Times New Roman"/>
          <w:sz w:val="24"/>
          <w:szCs w:val="24"/>
        </w:rPr>
        <w:t xml:space="preserve">Para ilustrar el flujo completo, se describe el procesamiento de una noche representativa del fenotipo Carga Hipóxica Alta (Cap06 §6.5). Los valores son ilustrativos dentro del rango observado en la cohorte —construidos a partir de las distribuciones de nights.parquet para ese fenotipo— y no corresponden a un registro individual identificado.</w:t>
      </w:r>
    </w:p>
    <w:p>
      <w:pPr>
        <w:spacing w:after="200" w:before="0" w:line="360" w:lineRule="auto"/>
        <w:jc w:val="both"/>
      </w:pPr>
      <w:r>
        <w:rPr>
          <w:rFonts w:ascii="Times New Roman" w:cs="Times New Roman" w:eastAsia="Times New Roman" w:hAnsi="Times New Roman"/>
          <w:sz w:val="24"/>
          <w:szCs w:val="24"/>
        </w:rPr>
        <w:t xml:space="preserve">Al cargar el archivo Excel del SOMNI 6000 (tres bloques de señal: SpO₂, FC, MOV), el pipeline completa el procesamiento en aproximadamente 18 segundos en hardware estándar (Apple M2, 16 GB RAM). El resultado devuelve 87 EDOs detectados (ODI₂ estimado: 10,4 ev/h), de los cuales 7 corresponden a morfotipos C4 o C5 (8,0 %). El T90 es de 4,2 %. El Risk Score PAC resultante es 74 —en la banda Alto—, impulsado principalmente por la fracción elevada de M1 (31 % del tiempo de registro) y un coupling index ci_m de 0,82.</w:t>
      </w:r>
    </w:p>
    <w:p>
      <w:pPr>
        <w:spacing w:after="200" w:before="0" w:line="360" w:lineRule="auto"/>
        <w:jc w:val="both"/>
      </w:pPr>
      <w:r>
        <w:rPr>
          <w:rFonts w:ascii="Times New Roman" w:cs="Times New Roman" w:eastAsia="Times New Roman" w:hAnsi="Times New Roman"/>
          <w:sz w:val="24"/>
          <w:szCs w:val="24"/>
        </w:rPr>
        <w:t xml:space="preserve">En la pestaña Historia Nocturna, el gráfico integrado evidencia visualmente la co-ocurrencia entre las bandas del estado M1 y los sombreados de morfotipos C4/C5 sobre la señal SpO₂, expresión gráfica del acoplamiento cuantificado en §6.2. La matriz de transición revela alta probabilidad de transición M1→M1 (0,44), señalando la inercia del estado de mayor carga hipóxica descrita en §6.4. El módulo de Informe IA genera una síntesis que identifica el patrón de hipoxemia moderada-severa, la dominancia del estado M1 como contexto fisiológico predominante y sugiere considerar seguimiento con PSG de titulación. Este ejemplo ilustra que el flujo completo —desde el archivo Excel hasta el informe descargable— opera de manera coherente con los resultados del análisis batch.</w:t>
      </w:r>
    </w:p>
    <w:p>
      <w:pPr>
        <w:pStyle w:val="Heading2"/>
        <w:spacing w:after="120" w:before="300"/>
      </w:pPr>
      <w:r>
        <w:rPr>
          <w:rFonts w:ascii="Times New Roman" w:cs="Times New Roman" w:eastAsia="Times New Roman" w:hAnsi="Times New Roman"/>
          <w:b/>
          <w:bCs/>
          <w:sz w:val="26"/>
          <w:szCs w:val="26"/>
        </w:rPr>
        <w:t xml:space="preserve">7.5  Consideraciones éticas</w:t>
      </w:r>
    </w:p>
    <w:p>
      <w:pPr>
        <w:spacing w:after="200" w:before="0" w:line="360" w:lineRule="auto"/>
        <w:jc w:val="both"/>
      </w:pPr>
      <w:r>
        <w:rPr>
          <w:rFonts w:ascii="Times New Roman" w:cs="Times New Roman" w:eastAsia="Times New Roman" w:hAnsi="Times New Roman"/>
          <w:sz w:val="24"/>
          <w:szCs w:val="24"/>
        </w:rPr>
        <w:t xml:space="preserve">El módulo de informe clínico generado por IA plantea dos dimensiones éticas relevantes en el marco DECIDE-AI (Vasey et al., 2022). Primera, la distinción entre asistencia interpretativa y diagnóstico: el informe sintetiza datos en lenguaje natural pero no sustituye el juicio del especialista ni constituye un diagnóstico formal; el papel del clínico en la decisión final está preservado mediante el diseño del prompt y la denominación del módulo como ayuda diagnóstica. Segunda, el riesgo de automation bias: los médicos tienden a confiar excesivamente en recomendaciones de IA incluso cuando son incorrectas (Cai et al., 2019); los informes generados deben ser revisados antes de su incorporación a la historia clínica. La opción de backend local (LM Studio) mantiene los datos del paciente dentro del perímetro institucional; la opción en la nube requiere evaluar la compatibilidad con la Ley 25.326 de Protección de Datos Personales (Argentina) y normativas equivalentes. La PAC App es un prototipo de investigación y no ha recibido autorización de dispositivo médico por parte de la ANMAT ni de ningún organismo regulatorio equivalente.</w:t>
      </w:r>
    </w:p>
    <w:p>
      <w:pPr>
        <w:pStyle w:val="Heading2"/>
        <w:spacing w:after="120" w:before="300"/>
      </w:pPr>
      <w:r>
        <w:rPr>
          <w:rFonts w:ascii="Times New Roman" w:cs="Times New Roman" w:eastAsia="Times New Roman" w:hAnsi="Times New Roman"/>
          <w:b/>
          <w:bCs/>
          <w:sz w:val="26"/>
          <w:szCs w:val="26"/>
        </w:rPr>
        <w:t xml:space="preserve">7.6  Limitaciones</w:t>
      </w:r>
    </w:p>
    <w:p>
      <w:pPr>
        <w:spacing w:after="200" w:before="0" w:line="360" w:lineRule="auto"/>
        <w:jc w:val="both"/>
      </w:pPr>
      <w:r>
        <w:rPr>
          <w:rFonts w:ascii="Times New Roman" w:cs="Times New Roman" w:eastAsia="Times New Roman" w:hAnsi="Times New Roman"/>
          <w:sz w:val="24"/>
          <w:szCs w:val="24"/>
        </w:rPr>
        <w:t xml:space="preserve">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(firmware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pPr>
        <w:pStyle w:val="Heading2"/>
        <w:spacing w:after="120" w:before="300"/>
      </w:pPr>
      <w:r>
        <w:rPr>
          <w:rFonts w:ascii="Times New Roman" w:cs="Times New Roman" w:eastAsia="Times New Roman" w:hAnsi="Times New Roman"/>
          <w:b/>
          <w:bCs/>
          <w:sz w:val="26"/>
          <w:szCs w:val="26"/>
        </w:rPr>
        <w:t xml:space="preserve">7.7  Conclusiones</w:t>
      </w:r>
    </w:p>
    <w:p>
      <w:pPr>
        <w:spacing w:after="200" w:before="0" w:line="360" w:lineRule="auto"/>
        <w:jc w:val="both"/>
      </w:pPr>
      <w:r>
        <w:rPr>
          <w:rFonts w:ascii="Times New Roman" w:cs="Times New Roman" w:eastAsia="Times New Roman" w:hAnsi="Times New Roman"/>
          <w:sz w:val="24"/>
          <w:szCs w:val="24"/>
        </w:rPr>
        <w:t xml:space="preserve">La PAC App constituye la primera prueba de concepto de que las representaciones desarrolladas en Cap04–06 pueden operar fuera del entorno de investigación y 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secuencia de estados segundo a segundo— coherente con los principios de diseño centrado en el usuario para herramientas de soporte a la decisión clínica (Cai et al., 2019).</w:t>
      </w:r>
    </w:p>
    <w:p>
      <w:pPr>
        <w:spacing w:after="200" w:before="0" w:line="360" w:lineRule="auto"/>
        <w:jc w:val="both"/>
      </w:pPr>
      <w:r>
        <w:rPr>
          <w:rFonts w:ascii="Times New Roman" w:cs="Times New Roman" w:eastAsia="Times New Roman" w:hAnsi="Times New Roman"/>
          <w:sz w:val="24"/>
          <w:szCs w:val="24"/>
        </w:rPr>
        <w:t xml:space="preserve">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el alcance de la app en la dirección que la versión actual no implementa: la predicción prospectiva con horizonte temporal clínico explícito, abriendo la posibilidad de integración con el estimulador eléctrico transcutáneo del SOMNI 6000.</w:t>
      </w:r>
    </w:p>
    <w:p>
      <w:pPr>
        <w:spacing w:before="400"/>
      </w:pPr>
      <w:r>
        <w:rPr>
          <w:rFonts w:ascii="Times New Roman" w:cs="Times New Roman" w:eastAsia="Times New Roman" w:hAnsi="Times New Roman"/>
          <w:i/>
          <w:iCs/>
          <w:color w:val="444444"/>
          <w:sz w:val="24"/>
          <w:szCs w:val="24"/>
        </w:rPr>
        <w:t xml:space="preserve">Continúa en Capítulo 8 — Predicción Prospectiva con Horizonte Temporal: el Módulo NB08</w:t>
      </w:r>
    </w:p>
    <w:sectPr>
      <w:pgSz w:w="11906" w:h="16838" w:orient="portrait"/>
      <w:pgMar w:top="1701" w:right="1418"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2026-06-02T18:55:30.312Z</dcterms:created>
  <dcterms:modified xsi:type="dcterms:W3CDTF">2026-06-02T18:55:30.312Z</dcterms:modified>
</cp:coreProperties>
</file>

<file path=docProps/custom.xml><?xml version="1.0" encoding="utf-8"?>
<Properties xmlns="http://schemas.openxmlformats.org/officeDocument/2006/custom-properties" xmlns:vt="http://schemas.openxmlformats.org/officeDocument/2006/docPropsVTypes"/>
</file>