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sidRPr="00FE55A9">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sidRPr="00FE55A9">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sidRPr="00C752D8">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sidRPr="00A954EC">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A954EC">
        <w:rPr>
          <w:rStyle w:val="nfasis"/>
          <w:rFonts w:asciiTheme="minorHAnsi" w:hAnsiTheme="minorHAnsi"/>
        </w:rPr>
        <w:t>batch</w:t>
      </w:r>
      <w:r w:rsidRPr="00A954EC">
        <w:rPr>
          <w:rFonts w:asciiTheme="minorHAnsi" w:hAnsiTheme="minorHAnsi"/>
        </w:rPr>
        <w:t xml:space="preserve">). </w:t>
      </w:r>
    </w:p>
    <w:p w14:paraId="691AB657" w14:textId="22F9CA7E" w:rsidR="00A954EC" w:rsidRPr="00A954EC" w:rsidRDefault="00A954EC" w:rsidP="00A954EC">
      <w:pPr>
        <w:pStyle w:val="font-claude-response-body"/>
        <w:spacing w:line="360" w:lineRule="auto"/>
        <w:jc w:val="both"/>
        <w:rPr>
          <w:rFonts w:asciiTheme="minorHAnsi" w:hAnsiTheme="minorHAnsi"/>
        </w:rPr>
      </w:pPr>
      <w:r w:rsidRPr="00A954EC">
        <w:rPr>
          <w:rFonts w:asciiTheme="minorHAnsi" w:hAnsiTheme="minorHAnsi"/>
        </w:rPr>
        <w:t xml:space="preserve">La </w:t>
      </w:r>
      <w:r w:rsidRPr="00A954EC">
        <w:rPr>
          <w:rFonts w:asciiTheme="minorHAnsi" w:hAnsiTheme="minorHAnsi"/>
          <w:b/>
          <w:bCs/>
        </w:rPr>
        <w:t>PAC App</w:t>
      </w:r>
      <w:r w:rsidRPr="00A954EC">
        <w:rPr>
          <w:rFonts w:asciiTheme="minorHAnsi" w:hAnsiTheme="minorHAnsi"/>
        </w:rPr>
        <w:t xml:space="preserve"> invierte esa lógica: toma el archivo Excel de una noche individual de un paciente no visto, ejecuta el pipeline </w:t>
      </w:r>
      <w:r w:rsidRPr="00A954EC">
        <w:rPr>
          <w:rFonts w:asciiTheme="minorHAnsi" w:hAnsiTheme="minorHAnsi"/>
          <w:b/>
          <w:bCs/>
        </w:rPr>
        <w:t>PAC_v3</w:t>
      </w:r>
      <w:r w:rsidRPr="00A954EC">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sidRPr="00A954EC">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Los objetivos de la interfaz son tres: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t xml:space="preserve">(1)  </w:t>
      </w:r>
      <w:r w:rsidRPr="00A954EC">
        <w:rPr>
          <w:rFonts w:asciiTheme="minorHAnsi" w:eastAsia="Arial" w:hAnsiTheme="minorHAnsi" w:cs="Arial"/>
          <w:b/>
          <w:bCs/>
        </w:rPr>
        <w:t>Procesamiento individual</w:t>
      </w:r>
      <w:r w:rsidRPr="00C752D8">
        <w:rPr>
          <w:rFonts w:asciiTheme="minorHAnsi" w:eastAsia="Arial" w:hAnsiTheme="minorHAnsi" w:cs="Arial"/>
        </w:rPr>
        <w:t xml:space="preserve">: ejecutar el pipeline completo </w:t>
      </w:r>
      <w:r w:rsidR="00A954EC">
        <w:rPr>
          <w:rFonts w:asciiTheme="minorHAnsi" w:eastAsia="Arial" w:hAnsiTheme="minorHAnsi" w:cs="Arial"/>
        </w:rPr>
        <w:t>(</w:t>
      </w:r>
      <w:r w:rsidRPr="00C752D8">
        <w:rPr>
          <w:rFonts w:asciiTheme="minorHAnsi" w:eastAsia="Arial" w:hAnsiTheme="minorHAnsi" w:cs="Arial"/>
        </w:rPr>
        <w:t>ingesta, control de calidad, detección de EDOs, clasificación de morfotipos, asignación de estados PAC y predicción</w:t>
      </w:r>
      <w:r w:rsidR="00A954EC">
        <w:rPr>
          <w:rFonts w:asciiTheme="minorHAnsi" w:eastAsia="Arial" w:hAnsiTheme="minorHAnsi" w:cs="Arial"/>
        </w:rPr>
        <w:t>)</w:t>
      </w:r>
      <w:r w:rsidRPr="00C752D8">
        <w:rPr>
          <w:rFonts w:asciiTheme="minorHAnsi" w:eastAsia="Arial" w:hAnsiTheme="minorHAnsi" w:cs="Arial"/>
        </w:rPr>
        <w:t xml:space="preserve">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t xml:space="preserve">(2)  </w:t>
      </w:r>
      <w:r w:rsidRPr="00A954EC">
        <w:rPr>
          <w:rFonts w:asciiTheme="minorHAnsi" w:eastAsia="Arial" w:hAnsiTheme="minorHAnsi" w:cs="Arial"/>
          <w:b/>
          <w:bCs/>
        </w:rPr>
        <w:t>Visualización interactiva</w:t>
      </w:r>
      <w:r w:rsidRPr="00C752D8">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lastRenderedPageBreak/>
        <w:t xml:space="preserve">(3)  </w:t>
      </w:r>
      <w:r w:rsidRPr="00D74C62">
        <w:rPr>
          <w:rFonts w:asciiTheme="minorHAnsi" w:eastAsia="Arial" w:hAnsiTheme="minorHAnsi" w:cs="Arial"/>
          <w:b/>
          <w:bCs/>
        </w:rPr>
        <w:t>Generación de informe</w:t>
      </w:r>
      <w:r w:rsidRPr="00C752D8">
        <w:rPr>
          <w:rFonts w:asciiTheme="minorHAnsi" w:eastAsia="Arial" w:hAnsiTheme="minorHAnsi" w:cs="Arial"/>
        </w:rPr>
        <w:t xml:space="preserve">: </w:t>
      </w:r>
      <w:r w:rsidR="00D74C62" w:rsidRPr="00D74C62">
        <w:rPr>
          <w:rFonts w:asciiTheme="minorHAnsi" w:hAnsiTheme="minorHAnsi"/>
        </w:rPr>
        <w:t>producir, mediante un modelo de lenguaje ejecutado localmente (Gemma vía LM Studio), un informe narrativo estructurado en dos audiencias</w:t>
      </w:r>
      <w:r w:rsidR="00D74C62">
        <w:rPr>
          <w:rFonts w:asciiTheme="minorHAnsi" w:hAnsiTheme="minorHAnsi"/>
        </w:rPr>
        <w:t xml:space="preserve">, </w:t>
      </w:r>
      <w:r w:rsidR="00D74C62" w:rsidRPr="00D74C62">
        <w:rPr>
          <w:rFonts w:asciiTheme="minorHAnsi" w:hAnsiTheme="minorHAnsi"/>
        </w:rPr>
        <w:t>el especialista y el paciente</w:t>
      </w:r>
      <w:r w:rsidR="00D74C62">
        <w:rPr>
          <w:rFonts w:asciiTheme="minorHAnsi" w:hAnsiTheme="minorHAnsi"/>
        </w:rPr>
        <w:t>,</w:t>
      </w:r>
      <w:r w:rsidR="00D74C62" w:rsidRPr="00D74C62">
        <w:rPr>
          <w:rFonts w:asciiTheme="minorHAnsi" w:hAnsiTheme="minorHAnsi"/>
        </w:rPr>
        <w:t xml:space="preserve"> descargable en formato Word</w:t>
      </w:r>
      <w:r w:rsidRPr="00D74C62">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7.2  Arquitectura del sistema</w:t>
      </w:r>
    </w:p>
    <w:p w14:paraId="41F85685" w14:textId="3E226E95"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 xml:space="preserve">La aplicación se construyó sobre </w:t>
      </w:r>
      <w:r w:rsidRPr="001D4951">
        <w:rPr>
          <w:rFonts w:asciiTheme="minorHAnsi" w:eastAsia="Arial" w:hAnsiTheme="minorHAnsi" w:cs="Arial"/>
          <w:i/>
          <w:iCs/>
        </w:rPr>
        <w:t>Streamlit</w:t>
      </w:r>
      <w:r w:rsidRPr="00C752D8">
        <w:rPr>
          <w:rFonts w:asciiTheme="minorHAnsi" w:eastAsia="Arial" w:hAnsiTheme="minorHAnsi" w:cs="Arial"/>
        </w:rPr>
        <w:t xml:space="preserve">, elegido por su integración nativa con el ecosistema </w:t>
      </w:r>
      <w:r w:rsidRPr="001D4951">
        <w:rPr>
          <w:rFonts w:asciiTheme="minorHAnsi" w:eastAsia="Arial" w:hAnsiTheme="minorHAnsi" w:cs="Arial"/>
          <w:i/>
          <w:iCs/>
        </w:rPr>
        <w:t>Python</w:t>
      </w:r>
      <w:r w:rsidRPr="00C752D8">
        <w:rPr>
          <w:rFonts w:asciiTheme="minorHAnsi" w:eastAsia="Arial" w:hAnsiTheme="minorHAnsi" w:cs="Arial"/>
        </w:rPr>
        <w:t xml:space="preserve"> del pipeline y con </w:t>
      </w:r>
      <w:r w:rsidRPr="001D4951">
        <w:rPr>
          <w:rFonts w:asciiTheme="minorHAnsi" w:eastAsia="Arial" w:hAnsiTheme="minorHAnsi" w:cs="Arial"/>
          <w:i/>
          <w:iCs/>
        </w:rPr>
        <w:t>Plotly</w:t>
      </w:r>
      <w:r w:rsidR="001D4951">
        <w:rPr>
          <w:rFonts w:asciiTheme="minorHAnsi" w:eastAsia="Arial" w:hAnsiTheme="minorHAnsi" w:cs="Arial"/>
        </w:rPr>
        <w:t xml:space="preserve">. </w:t>
      </w:r>
      <w:r w:rsidRPr="00C752D8">
        <w:rPr>
          <w:rFonts w:asciiTheme="minorHAnsi" w:eastAsia="Arial" w:hAnsiTheme="minorHAnsi" w:cs="Arial"/>
        </w:rPr>
        <w:t xml:space="preserve">El sistema se organiza en cuatro capas: (1) </w:t>
      </w:r>
      <w:r w:rsidRPr="001D4951">
        <w:rPr>
          <w:rFonts w:asciiTheme="minorHAnsi" w:eastAsia="Arial" w:hAnsiTheme="minorHAnsi" w:cs="Arial"/>
          <w:b/>
          <w:bCs/>
        </w:rPr>
        <w:t>módulos core</w:t>
      </w:r>
      <w:r w:rsidRPr="00C752D8">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w:t>
      </w:r>
      <w:r w:rsidRPr="001D4951">
        <w:rPr>
          <w:rFonts w:asciiTheme="minorHAnsi" w:eastAsia="Arial" w:hAnsiTheme="minorHAnsi" w:cs="Arial"/>
        </w:rPr>
        <w:t>2)</w:t>
      </w:r>
      <w:r w:rsidR="001D4951" w:rsidRPr="001D4951">
        <w:rPr>
          <w:rFonts w:asciiTheme="minorHAnsi" w:hAnsiTheme="minorHAnsi"/>
          <w:b/>
          <w:bCs/>
        </w:rPr>
        <w:t xml:space="preserve"> </w:t>
      </w:r>
      <w:r w:rsidR="001D4951" w:rsidRPr="001D4951">
        <w:rPr>
          <w:rFonts w:asciiTheme="minorHAnsi" w:hAnsiTheme="minorHAnsi"/>
          <w:b/>
          <w:bCs/>
        </w:rPr>
        <w:t>un</w:t>
      </w:r>
      <w:r w:rsidR="001D4951" w:rsidRPr="001D4951">
        <w:rPr>
          <w:rFonts w:asciiTheme="minorHAnsi" w:hAnsiTheme="minorHAnsi"/>
        </w:rPr>
        <w:t xml:space="preserve"> </w:t>
      </w:r>
      <w:r w:rsidR="001D4951" w:rsidRPr="001D4951">
        <w:rPr>
          <w:rFonts w:asciiTheme="minorHAnsi" w:hAnsiTheme="minorHAnsi"/>
          <w:b/>
          <w:bCs/>
        </w:rPr>
        <w:t>módulo orquestador</w:t>
      </w:r>
      <w:r w:rsidR="001D4951" w:rsidRPr="001D4951">
        <w:rPr>
          <w:rFonts w:asciiTheme="minorHAnsi" w:hAnsiTheme="minorHAnsi"/>
        </w:rPr>
        <w:t xml:space="preserve"> que invoca los módulos core y devuelve un diccionario único de resultados estructurado por niveles</w:t>
      </w:r>
      <w:r w:rsidRPr="00C752D8">
        <w:rPr>
          <w:rFonts w:asciiTheme="minorHAnsi" w:eastAsia="Arial" w:hAnsiTheme="minorHAnsi" w:cs="Arial"/>
        </w:rPr>
        <w:t xml:space="preserve">; (3) </w:t>
      </w:r>
      <w:r w:rsidRPr="001D4951">
        <w:rPr>
          <w:rFonts w:asciiTheme="minorHAnsi" w:eastAsia="Arial" w:hAnsiTheme="minorHAnsi" w:cs="Arial"/>
          <w:b/>
          <w:bCs/>
        </w:rPr>
        <w:t>la capa de presentación</w:t>
      </w:r>
      <w:r w:rsidRPr="00C752D8">
        <w:rPr>
          <w:rFonts w:asciiTheme="minorHAnsi" w:eastAsia="Arial" w:hAnsiTheme="minorHAnsi" w:cs="Arial"/>
        </w:rPr>
        <w:t xml:space="preserve">, interfaz organizada en cinco pestañas con cacheo parametrizado por hash del archivo; y (4) </w:t>
      </w:r>
      <w:r w:rsidRPr="001D4951">
        <w:rPr>
          <w:rFonts w:asciiTheme="minorHAnsi" w:eastAsia="Arial" w:hAnsiTheme="minorHAnsi" w:cs="Arial"/>
          <w:b/>
          <w:bCs/>
        </w:rPr>
        <w:t>los artefactos de modelos</w:t>
      </w:r>
      <w:r w:rsidRPr="00C752D8">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6F1BFDFC" w14:textId="77777777" w:rsidR="006E37FD" w:rsidRPr="00C752D8" w:rsidRDefault="00000000" w:rsidP="00FE55A9">
      <w:pPr>
        <w:spacing w:before="80" w:after="160" w:line="360" w:lineRule="auto"/>
        <w:jc w:val="both"/>
        <w:rPr>
          <w:rFonts w:asciiTheme="minorHAnsi" w:hAnsiTheme="minorHAnsi"/>
        </w:rPr>
      </w:pPr>
      <w:r w:rsidRPr="00C752D8">
        <w:rPr>
          <w:rFonts w:ascii="Segoe UI Symbol" w:eastAsia="Arial" w:hAnsi="Segoe UI Symbol" w:cs="Segoe UI Symbol"/>
          <w:i/>
          <w:iCs/>
          <w:color w:val="555555"/>
          <w:sz w:val="20"/>
          <w:szCs w:val="20"/>
        </w:rPr>
        <w:t>▸</w:t>
      </w:r>
      <w:r w:rsidRPr="00C752D8">
        <w:rPr>
          <w:rFonts w:asciiTheme="minorHAnsi" w:eastAsia="Arial" w:hAnsiTheme="minorHAnsi" w:cs="Arial"/>
          <w:i/>
          <w:iCs/>
          <w:color w:val="555555"/>
          <w:sz w:val="20"/>
          <w:szCs w:val="20"/>
        </w:rPr>
        <w:t xml:space="preserve"> Figura complementaria en Anexo: 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sidRPr="00C752D8">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b/>
                <w:bCs/>
                <w:sz w:val="20"/>
                <w:szCs w:val="20"/>
              </w:rPr>
              <w:t>Contenido y función</w:t>
            </w:r>
          </w:p>
        </w:tc>
      </w:tr>
      <w:tr w:rsidR="006E37FD" w:rsidRPr="00C752D8" w14:paraId="694A6A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lastRenderedPageBreak/>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sidRPr="00C752D8">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sidRPr="00C752D8">
        <w:rPr>
          <w:rFonts w:ascii="Segoe UI Symbol" w:eastAsia="Arial" w:hAnsi="Segoe UI Symbol" w:cs="Segoe UI Symbol"/>
          <w:i/>
          <w:iCs/>
          <w:color w:val="555555"/>
          <w:sz w:val="20"/>
          <w:szCs w:val="20"/>
        </w:rPr>
        <w:t>▸</w:t>
      </w:r>
      <w:r w:rsidRPr="00C752D8">
        <w:rPr>
          <w:rFonts w:asciiTheme="minorHAnsi" w:eastAsia="Arial" w:hAnsiTheme="minorHAnsi" w:cs="Arial"/>
          <w:i/>
          <w:iCs/>
          <w:color w:val="555555"/>
          <w:sz w:val="20"/>
          <w:szCs w:val="20"/>
        </w:rPr>
        <w:t xml:space="preserve"> Figuras complementarias en Anexo: Fig. 7.2 (vista general), Fig. 7.3–7.7 (capturas de cada pestaña).</w:t>
      </w:r>
    </w:p>
    <w:p w14:paraId="44DADFE3"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Para ilustrar el flujo completo, se describe el procesamiento de una noche representativa del fenotipo Carga Hipóxica Alta (Cap06 §6.5). Los valores son ilustrativos dentro del rango observado en la cohorte —construidos a partir de las distribuciones de nights.parquet para ese fenotipo— y no corresponden a un registro individual identificado.</w:t>
      </w:r>
    </w:p>
    <w:p w14:paraId="74A9A05F"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 xml:space="preserve">Al cargar el archivo Excel del SOMNI 6000 (tres bloques de señal: SpO₂, FC, MOV), el pipeline completa el procesamiento en aproximadamente 18 segundos en hardware estándar de uso clínico. El resultado devuelve 87 EDOs detectados (ODI₂ estimado: 10,4 ev/h), de los cuales 7 corresponden a morfotipos C4 o C5 (8,0 %). El T90 es de 4,2 %. El Risk Score PAC resultante es 74 —en la banda Alto—, impulsado principalmente </w:t>
      </w:r>
      <w:r w:rsidRPr="00C752D8">
        <w:rPr>
          <w:rFonts w:asciiTheme="minorHAnsi" w:eastAsia="Arial" w:hAnsiTheme="minorHAnsi" w:cs="Arial"/>
        </w:rPr>
        <w:lastRenderedPageBreak/>
        <w:t>por la fracción elevada de M1 (31 % del tiempo de registro) y un coupling index ci_m de 0,82.</w:t>
      </w:r>
    </w:p>
    <w:p w14:paraId="2A7A5154"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En la pestaña Historia Nocturna, el gráfico integrado evidencia visualmente la co-ocurrencia entre las bandas del estado M1 y los sombreados de morfotipos C4/C5 sobre la señal SpO₂, expresión gráfica del acoplamiento cuantificado en §6.2. La matriz de transición revela alta probabilidad de transición M1→M1 (0,44), señalando la inercia del estado de mayor carga hipóxica descrita en §6.4. El módulo de Informe IA genera una síntesis que identifica el patrón de hipoxemia moderada-severa, la dominancia del estado M1 como contexto fisiológico predominante y sugiere considerar seguimiento con PSG de titulación. Este ejemplo ilustra que el flujo completo —desde el archivo Excel hasta el informe descargable— opera de manera coherente con los resultados del análisis batch.</w:t>
      </w:r>
    </w:p>
    <w:p w14:paraId="318EBDE3"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lastRenderedPageBreak/>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lastRenderedPageBreak/>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D99E" w14:textId="77777777" w:rsidR="0014311C" w:rsidRDefault="0014311C">
      <w:r>
        <w:separator/>
      </w:r>
    </w:p>
  </w:endnote>
  <w:endnote w:type="continuationSeparator" w:id="0">
    <w:p w14:paraId="7D2D0ADD" w14:textId="77777777" w:rsidR="0014311C" w:rsidRDefault="00143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C4D4" w14:textId="77777777" w:rsidR="0014311C" w:rsidRDefault="0014311C">
      <w:r>
        <w:separator/>
      </w:r>
    </w:p>
  </w:footnote>
  <w:footnote w:type="continuationSeparator" w:id="0">
    <w:p w14:paraId="7810FCBF" w14:textId="77777777" w:rsidR="0014311C" w:rsidRDefault="00143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000000"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4311C"/>
    <w:rsid w:val="001D4951"/>
    <w:rsid w:val="002A64E2"/>
    <w:rsid w:val="006E37FD"/>
    <w:rsid w:val="00833978"/>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1540</Words>
  <Characters>8610</Characters>
  <Application>Microsoft Office Word</Application>
  <DocSecurity>0</DocSecurity>
  <Lines>151</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2026-06-05T02:58:00Z</dcterms:created>
  <dcterms:modified xsi:type="dcterms:W3CDTF">2026-06-05T03:24:00Z</dcterms:modified>
</cp:coreProperties>
</file>