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sidRPr="00FE55A9">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sidRPr="00FE55A9">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sidRPr="00C752D8">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sidRPr="00A954EC">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sidRPr="00A954EC">
        <w:rPr>
          <w:rStyle w:val="nfasis"/>
          <w:rFonts w:asciiTheme="minorHAnsi" w:hAnsiTheme="minorHAnsi"/>
        </w:rPr>
        <w:t>batch</w:t>
      </w:r>
      <w:r w:rsidRPr="00A954EC">
        <w:rPr>
          <w:rFonts w:asciiTheme="minorHAnsi" w:hAnsiTheme="minorHAnsi"/>
        </w:rPr>
        <w:t xml:space="preserve">). </w:t>
      </w:r>
    </w:p>
    <w:p w14:paraId="691AB657" w14:textId="22F9CA7E" w:rsidR="00A954EC" w:rsidRPr="00A954EC" w:rsidRDefault="00A954EC" w:rsidP="00A954EC">
      <w:pPr>
        <w:pStyle w:val="font-claude-response-body"/>
        <w:spacing w:line="360" w:lineRule="auto"/>
        <w:jc w:val="both"/>
        <w:rPr>
          <w:rFonts w:asciiTheme="minorHAnsi" w:hAnsiTheme="minorHAnsi"/>
        </w:rPr>
      </w:pPr>
      <w:r w:rsidRPr="00A954EC">
        <w:rPr>
          <w:rFonts w:asciiTheme="minorHAnsi" w:hAnsiTheme="minorHAnsi"/>
        </w:rPr>
        <w:t xml:space="preserve">La </w:t>
      </w:r>
      <w:r w:rsidRPr="00A954EC">
        <w:rPr>
          <w:rFonts w:asciiTheme="minorHAnsi" w:hAnsiTheme="minorHAnsi"/>
          <w:b/>
          <w:bCs/>
        </w:rPr>
        <w:t>PAC App</w:t>
      </w:r>
      <w:r w:rsidRPr="00A954EC">
        <w:rPr>
          <w:rFonts w:asciiTheme="minorHAnsi" w:hAnsiTheme="minorHAnsi"/>
        </w:rPr>
        <w:t xml:space="preserve"> invierte esa lógica: toma el archivo Excel de una noche individual de un paciente no visto, ejecuta el pipeline </w:t>
      </w:r>
      <w:r w:rsidRPr="00A954EC">
        <w:rPr>
          <w:rFonts w:asciiTheme="minorHAnsi" w:hAnsiTheme="minorHAnsi"/>
          <w:b/>
          <w:bCs/>
        </w:rPr>
        <w:t>PAC_v3</w:t>
      </w:r>
      <w:r w:rsidRPr="00A954EC">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sidRPr="00A954EC">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Los objetivos de la interfaz son tres: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sidRPr="00C752D8">
        <w:rPr>
          <w:rFonts w:asciiTheme="minorHAnsi" w:eastAsia="Arial" w:hAnsiTheme="minorHAnsi" w:cs="Arial"/>
        </w:rPr>
        <w:t xml:space="preserve">(1)  </w:t>
      </w:r>
      <w:r w:rsidRPr="00A954EC">
        <w:rPr>
          <w:rFonts w:asciiTheme="minorHAnsi" w:eastAsia="Arial" w:hAnsiTheme="minorHAnsi" w:cs="Arial"/>
          <w:b/>
          <w:bCs/>
        </w:rPr>
        <w:t>Procesamiento individual</w:t>
      </w:r>
      <w:r w:rsidRPr="00C752D8">
        <w:rPr>
          <w:rFonts w:asciiTheme="minorHAnsi" w:eastAsia="Arial" w:hAnsiTheme="minorHAnsi" w:cs="Arial"/>
        </w:rPr>
        <w:t xml:space="preserve">: ejecutar el pipeline completo </w:t>
      </w:r>
      <w:r w:rsidR="00A954EC">
        <w:rPr>
          <w:rFonts w:asciiTheme="minorHAnsi" w:eastAsia="Arial" w:hAnsiTheme="minorHAnsi" w:cs="Arial"/>
        </w:rPr>
        <w:t>(</w:t>
      </w:r>
      <w:r w:rsidRPr="00C752D8">
        <w:rPr>
          <w:rFonts w:asciiTheme="minorHAnsi" w:eastAsia="Arial" w:hAnsiTheme="minorHAnsi" w:cs="Arial"/>
        </w:rPr>
        <w:t>ingesta, control de calidad, detección de EDOs, clasificación de morfotipos, asignación de estados PAC y predicción</w:t>
      </w:r>
      <w:r w:rsidR="00A954EC">
        <w:rPr>
          <w:rFonts w:asciiTheme="minorHAnsi" w:eastAsia="Arial" w:hAnsiTheme="minorHAnsi" w:cs="Arial"/>
        </w:rPr>
        <w:t>)</w:t>
      </w:r>
      <w:r w:rsidRPr="00C752D8">
        <w:rPr>
          <w:rFonts w:asciiTheme="minorHAnsi" w:eastAsia="Arial" w:hAnsiTheme="minorHAnsi" w:cs="Arial"/>
        </w:rPr>
        <w:t xml:space="preserve">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sidRPr="00C752D8">
        <w:rPr>
          <w:rFonts w:asciiTheme="minorHAnsi" w:eastAsia="Arial" w:hAnsiTheme="minorHAnsi" w:cs="Arial"/>
        </w:rPr>
        <w:t xml:space="preserve">(2)  </w:t>
      </w:r>
      <w:r w:rsidRPr="00A954EC">
        <w:rPr>
          <w:rFonts w:asciiTheme="minorHAnsi" w:eastAsia="Arial" w:hAnsiTheme="minorHAnsi" w:cs="Arial"/>
          <w:b/>
          <w:bCs/>
        </w:rPr>
        <w:t>Visualización interactiva</w:t>
      </w:r>
      <w:r w:rsidRPr="00C752D8">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sidRPr="00C752D8">
        <w:rPr>
          <w:rFonts w:asciiTheme="minorHAnsi" w:eastAsia="Arial" w:hAnsiTheme="minorHAnsi" w:cs="Arial"/>
        </w:rPr>
        <w:lastRenderedPageBreak/>
        <w:t xml:space="preserve">(3)  </w:t>
      </w:r>
      <w:r w:rsidRPr="00D74C62">
        <w:rPr>
          <w:rFonts w:asciiTheme="minorHAnsi" w:eastAsia="Arial" w:hAnsiTheme="minorHAnsi" w:cs="Arial"/>
          <w:b/>
          <w:bCs/>
        </w:rPr>
        <w:t>Generación de informe</w:t>
      </w:r>
      <w:r w:rsidRPr="00C752D8">
        <w:rPr>
          <w:rFonts w:asciiTheme="minorHAnsi" w:eastAsia="Arial" w:hAnsiTheme="minorHAnsi" w:cs="Arial"/>
        </w:rPr>
        <w:t xml:space="preserve">: </w:t>
      </w:r>
      <w:r w:rsidR="00D74C62" w:rsidRPr="00D74C62">
        <w:rPr>
          <w:rFonts w:asciiTheme="minorHAnsi" w:hAnsiTheme="minorHAnsi"/>
        </w:rPr>
        <w:t>producir, mediante un modelo de lenguaje ejecutado localmente (Gemma vía LM Studio), un informe narrativo estructurado en dos audiencias</w:t>
      </w:r>
      <w:r w:rsidR="00D74C62">
        <w:rPr>
          <w:rFonts w:asciiTheme="minorHAnsi" w:hAnsiTheme="minorHAnsi"/>
        </w:rPr>
        <w:t xml:space="preserve">, </w:t>
      </w:r>
      <w:r w:rsidR="00D74C62" w:rsidRPr="00D74C62">
        <w:rPr>
          <w:rFonts w:asciiTheme="minorHAnsi" w:hAnsiTheme="minorHAnsi"/>
        </w:rPr>
        <w:t>el especialista y el paciente</w:t>
      </w:r>
      <w:r w:rsidR="00D74C62">
        <w:rPr>
          <w:rFonts w:asciiTheme="minorHAnsi" w:hAnsiTheme="minorHAnsi"/>
        </w:rPr>
        <w:t>,</w:t>
      </w:r>
      <w:r w:rsidR="00D74C62" w:rsidRPr="00D74C62">
        <w:rPr>
          <w:rFonts w:asciiTheme="minorHAnsi" w:hAnsiTheme="minorHAnsi"/>
        </w:rPr>
        <w:t xml:space="preserve"> descargable en formato Word</w:t>
      </w:r>
      <w:r w:rsidRPr="00D74C62">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7.2  Arquitectura del sistema</w:t>
      </w:r>
    </w:p>
    <w:p w14:paraId="41F85685" w14:textId="3E226E95" w:rsidR="006E37FD" w:rsidRDefault="00000000" w:rsidP="00FE55A9">
      <w:pPr>
        <w:spacing w:after="200" w:line="360" w:lineRule="auto"/>
        <w:jc w:val="both"/>
        <w:rPr>
          <w:rFonts w:asciiTheme="minorHAnsi" w:eastAsia="Arial" w:hAnsiTheme="minorHAnsi" w:cs="Arial"/>
        </w:rPr>
      </w:pPr>
      <w:r w:rsidRPr="00C752D8">
        <w:rPr>
          <w:rFonts w:asciiTheme="minorHAnsi" w:eastAsia="Arial" w:hAnsiTheme="minorHAnsi" w:cs="Arial"/>
        </w:rPr>
        <w:t xml:space="preserve">La aplicación se construyó sobre </w:t>
      </w:r>
      <w:r w:rsidRPr="001D4951">
        <w:rPr>
          <w:rFonts w:asciiTheme="minorHAnsi" w:eastAsia="Arial" w:hAnsiTheme="minorHAnsi" w:cs="Arial"/>
          <w:i/>
          <w:iCs/>
        </w:rPr>
        <w:t>Streamlit</w:t>
      </w:r>
      <w:r w:rsidRPr="00C752D8">
        <w:rPr>
          <w:rFonts w:asciiTheme="minorHAnsi" w:eastAsia="Arial" w:hAnsiTheme="minorHAnsi" w:cs="Arial"/>
        </w:rPr>
        <w:t xml:space="preserve">, elegido por su integración nativa con el ecosistema </w:t>
      </w:r>
      <w:r w:rsidRPr="001D4951">
        <w:rPr>
          <w:rFonts w:asciiTheme="minorHAnsi" w:eastAsia="Arial" w:hAnsiTheme="minorHAnsi" w:cs="Arial"/>
          <w:i/>
          <w:iCs/>
        </w:rPr>
        <w:t>Python</w:t>
      </w:r>
      <w:r w:rsidRPr="00C752D8">
        <w:rPr>
          <w:rFonts w:asciiTheme="minorHAnsi" w:eastAsia="Arial" w:hAnsiTheme="minorHAnsi" w:cs="Arial"/>
        </w:rPr>
        <w:t xml:space="preserve"> del pipeline y con </w:t>
      </w:r>
      <w:r w:rsidRPr="001D4951">
        <w:rPr>
          <w:rFonts w:asciiTheme="minorHAnsi" w:eastAsia="Arial" w:hAnsiTheme="minorHAnsi" w:cs="Arial"/>
          <w:i/>
          <w:iCs/>
        </w:rPr>
        <w:t>Plotly</w:t>
      </w:r>
      <w:r w:rsidR="001D4951">
        <w:rPr>
          <w:rFonts w:asciiTheme="minorHAnsi" w:eastAsia="Arial" w:hAnsiTheme="minorHAnsi" w:cs="Arial"/>
        </w:rPr>
        <w:t xml:space="preserve">. </w:t>
      </w:r>
      <w:r w:rsidRPr="00C752D8">
        <w:rPr>
          <w:rFonts w:asciiTheme="minorHAnsi" w:eastAsia="Arial" w:hAnsiTheme="minorHAnsi" w:cs="Arial"/>
        </w:rPr>
        <w:t xml:space="preserve">El sistema se organiza en cuatro capas: (1) </w:t>
      </w:r>
      <w:r w:rsidRPr="001D4951">
        <w:rPr>
          <w:rFonts w:asciiTheme="minorHAnsi" w:eastAsia="Arial" w:hAnsiTheme="minorHAnsi" w:cs="Arial"/>
          <w:b/>
          <w:bCs/>
        </w:rPr>
        <w:t>módulos core</w:t>
      </w:r>
      <w:r w:rsidRPr="00C752D8">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w:t>
      </w:r>
      <w:r w:rsidRPr="001D4951">
        <w:rPr>
          <w:rFonts w:asciiTheme="minorHAnsi" w:eastAsia="Arial" w:hAnsiTheme="minorHAnsi" w:cs="Arial"/>
        </w:rPr>
        <w:t>2)</w:t>
      </w:r>
      <w:r w:rsidR="001D4951" w:rsidRPr="001D4951">
        <w:rPr>
          <w:rFonts w:asciiTheme="minorHAnsi" w:hAnsiTheme="minorHAnsi"/>
          <w:b/>
          <w:bCs/>
        </w:rPr>
        <w:t xml:space="preserve"> un</w:t>
      </w:r>
      <w:r w:rsidR="001D4951" w:rsidRPr="001D4951">
        <w:rPr>
          <w:rFonts w:asciiTheme="minorHAnsi" w:hAnsiTheme="minorHAnsi"/>
        </w:rPr>
        <w:t xml:space="preserve"> </w:t>
      </w:r>
      <w:r w:rsidR="001D4951" w:rsidRPr="001D4951">
        <w:rPr>
          <w:rFonts w:asciiTheme="minorHAnsi" w:hAnsiTheme="minorHAnsi"/>
          <w:b/>
          <w:bCs/>
        </w:rPr>
        <w:t>módulo orquestador</w:t>
      </w:r>
      <w:r w:rsidR="001D4951" w:rsidRPr="001D4951">
        <w:rPr>
          <w:rFonts w:asciiTheme="minorHAnsi" w:hAnsiTheme="minorHAnsi"/>
        </w:rPr>
        <w:t xml:space="preserve"> que invoca los módulos core y devuelve un diccionario único de resultados estructurado por niveles</w:t>
      </w:r>
      <w:r w:rsidRPr="00C752D8">
        <w:rPr>
          <w:rFonts w:asciiTheme="minorHAnsi" w:eastAsia="Arial" w:hAnsiTheme="minorHAnsi" w:cs="Arial"/>
        </w:rPr>
        <w:t xml:space="preserve">; (3) </w:t>
      </w:r>
      <w:r w:rsidRPr="001D4951">
        <w:rPr>
          <w:rFonts w:asciiTheme="minorHAnsi" w:eastAsia="Arial" w:hAnsiTheme="minorHAnsi" w:cs="Arial"/>
          <w:b/>
          <w:bCs/>
        </w:rPr>
        <w:t>la capa de presentación</w:t>
      </w:r>
      <w:r w:rsidRPr="00C752D8">
        <w:rPr>
          <w:rFonts w:asciiTheme="minorHAnsi" w:eastAsia="Arial" w:hAnsiTheme="minorHAnsi" w:cs="Arial"/>
        </w:rPr>
        <w:t xml:space="preserve">, interfaz organizada en cinco pestañas con cacheo parametrizado por hash del archivo; y (4) </w:t>
      </w:r>
      <w:r w:rsidRPr="001D4951">
        <w:rPr>
          <w:rFonts w:asciiTheme="minorHAnsi" w:eastAsia="Arial" w:hAnsiTheme="minorHAnsi" w:cs="Arial"/>
          <w:b/>
          <w:bCs/>
        </w:rPr>
        <w:t>los artefactos de modelos</w:t>
      </w:r>
      <w:r w:rsidRPr="00C752D8">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52E32A95" w14:textId="63F07EE0" w:rsidR="0012136E" w:rsidRPr="00C752D8" w:rsidRDefault="0012136E" w:rsidP="00FE55A9">
      <w:pPr>
        <w:spacing w:after="200" w:line="360" w:lineRule="auto"/>
        <w:jc w:val="both"/>
        <w:rPr>
          <w:rFonts w:asciiTheme="minorHAnsi" w:hAnsiTheme="minorHAnsi"/>
        </w:rPr>
      </w:pPr>
      <w:r w:rsidRPr="0012136E">
        <w:rPr>
          <w:rFonts w:asciiTheme="minorHAnsi" w:hAnsiTheme="minorHAnsi"/>
        </w:rPr>
        <w:drawing>
          <wp:inline distT="0" distB="0" distL="0" distR="0" wp14:anchorId="1C405110" wp14:editId="4514FC29">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7"/>
                    <a:stretch>
                      <a:fillRect/>
                    </a:stretch>
                  </pic:blipFill>
                  <pic:spPr>
                    <a:xfrm>
                      <a:off x="0" y="0"/>
                      <a:ext cx="5579745" cy="3404235"/>
                    </a:xfrm>
                    <a:prstGeom prst="rect">
                      <a:avLst/>
                    </a:prstGeom>
                  </pic:spPr>
                </pic:pic>
              </a:graphicData>
            </a:graphic>
          </wp:inline>
        </w:drawing>
      </w:r>
    </w:p>
    <w:p w14:paraId="6F1BFDFC" w14:textId="01ED241C" w:rsidR="006E37FD" w:rsidRPr="00C752D8" w:rsidRDefault="00000000" w:rsidP="00FE55A9">
      <w:pPr>
        <w:spacing w:before="80" w:after="160" w:line="360" w:lineRule="auto"/>
        <w:jc w:val="both"/>
        <w:rPr>
          <w:rFonts w:asciiTheme="minorHAnsi" w:hAnsiTheme="minorHAnsi"/>
        </w:rPr>
      </w:pPr>
      <w:r w:rsidRPr="00C752D8">
        <w:rPr>
          <w:rFonts w:asciiTheme="minorHAnsi" w:eastAsia="Arial" w:hAnsiTheme="minorHAnsi" w:cs="Arial"/>
          <w:i/>
          <w:iCs/>
          <w:color w:val="555555"/>
          <w:sz w:val="20"/>
          <w:szCs w:val="20"/>
        </w:rPr>
        <w:t>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lastRenderedPageBreak/>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sidRPr="00C752D8">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b/>
                <w:bCs/>
                <w:sz w:val="20"/>
                <w:szCs w:val="20"/>
              </w:rPr>
              <w:t>Contenido y función</w:t>
            </w:r>
          </w:p>
        </w:tc>
      </w:tr>
      <w:tr w:rsidR="006E37FD" w:rsidRPr="00C752D8" w14:paraId="694A6A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sidRPr="00C752D8">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sidRPr="00C752D8">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sidRPr="00C752D8">
        <w:rPr>
          <w:rFonts w:ascii="Segoe UI Symbol" w:eastAsia="Arial" w:hAnsi="Segoe UI Symbol" w:cs="Segoe UI Symbol"/>
          <w:i/>
          <w:iCs/>
          <w:color w:val="555555"/>
          <w:sz w:val="20"/>
          <w:szCs w:val="20"/>
        </w:rPr>
        <w:t>▸</w:t>
      </w:r>
      <w:r w:rsidRPr="00C752D8">
        <w:rPr>
          <w:rFonts w:asciiTheme="minorHAnsi" w:eastAsia="Arial" w:hAnsiTheme="minorHAnsi" w:cs="Arial"/>
          <w:i/>
          <w:iCs/>
          <w:color w:val="555555"/>
          <w:sz w:val="20"/>
          <w:szCs w:val="20"/>
        </w:rPr>
        <w:t xml:space="preserve"> Figuras complementarias en Anexo: Fig. 7.2 (vista general), Fig. 7.3–7.7 (capturas de cada pestaña).</w:t>
      </w:r>
    </w:p>
    <w:p w14:paraId="44DADFE3"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7.4  Caso de uso ilustrativo</w:t>
      </w:r>
    </w:p>
    <w:p w14:paraId="1BCBCDFA"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lastRenderedPageBreak/>
        <w:t>Para ilustrar el flujo completo, se describe el procesamiento de una noche representativa del fenotipo Carga Hipóxica Alta (Cap06 §6.5). Los valores son ilustrativos dentro del rango observado en la cohorte —construidos a partir de las distribuciones de nights.parquet para ese fenotipo— y no corresponden a un registro individual identificado.</w:t>
      </w:r>
    </w:p>
    <w:p w14:paraId="74A9A05F"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Al cargar el archivo Excel del SOMNI 6000 (tres bloques de señal: SpO₂, FC, MOV), el pipeline completa el procesamiento en aproximadamente 18 segundos en hardware estándar de uso clínico. El resultado devuelve 87 EDOs detectados (ODI₂ estimado: 10,4 ev/h), de los cuales 7 corresponden a morfotipos C4 o C5 (8,0 %). El T90 es de 4,2 %. El Risk Score PAC resultante es 74 —en la banda Alto—, impulsado principalmente por la fracción elevada de M1 (31 % del tiempo de registro) y un coupling index ci_m de 0,82.</w:t>
      </w:r>
    </w:p>
    <w:p w14:paraId="2A7A5154"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En la pestaña Historia Nocturna, el gráfico integrado evidencia visualmente la co-ocurrencia entre las bandas del estado M1 y los sombreados de morfotipos C4/C5 sobre la señal SpO₂, expresión gráfica del acoplamiento cuantificado en §6.2. La matriz de transición revela alta probabilidad de transición M1→M1 (0,44), señalando la inercia del estado de mayor carga hipóxica descrita en §6.4. El módulo de Informe IA genera una síntesis que identifica el patrón de hipoxemia moderada-severa, la dominancia del estado M1 como contexto fisiológico predominante y sugiere considerar seguimiento con PSG de titulación. Este ejemplo ilustra que el flujo completo —desde el archivo Excel hasta el informe descargable— opera de manera coherente con los resultados del análisis batch.</w:t>
      </w:r>
    </w:p>
    <w:p w14:paraId="318EBDE3"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7.5  Consideraciones éticas</w:t>
      </w:r>
    </w:p>
    <w:p w14:paraId="4C17740C"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w:t>
      </w:r>
      <w:r w:rsidRPr="00C752D8">
        <w:rPr>
          <w:rFonts w:asciiTheme="minorHAnsi" w:eastAsia="Arial" w:hAnsiTheme="minorHAnsi" w:cs="Arial"/>
        </w:rPr>
        <w:lastRenderedPageBreak/>
        <w:t>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7.6  Limitaciones</w:t>
      </w:r>
    </w:p>
    <w:p w14:paraId="37B41137"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sidRPr="00C752D8">
        <w:rPr>
          <w:rFonts w:asciiTheme="minorHAnsi" w:eastAsia="Arial" w:hAnsiTheme="minorHAnsi" w:cs="Arial"/>
        </w:rPr>
        <w:t>7.7  Conclusiones</w:t>
      </w:r>
    </w:p>
    <w:p w14:paraId="7041F18B"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 xml:space="preserve">La PAC App constituye la primera prueba de concepto de que las representaciones desarrolladas en Cap04–06 pueden operar fuera del entorno de investigación y </w:t>
      </w:r>
      <w:r w:rsidRPr="00C752D8">
        <w:rPr>
          <w:rFonts w:asciiTheme="minorHAnsi" w:eastAsia="Arial" w:hAnsiTheme="minorHAnsi" w:cs="Arial"/>
        </w:rPr>
        <w:lastRenderedPageBreak/>
        <w:t>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sidRPr="00C752D8">
        <w:rPr>
          <w:rFonts w:asciiTheme="minorHAnsi" w:eastAsia="Arial" w:hAnsiTheme="minorHAnsi" w:cs="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DB36" w14:textId="77777777" w:rsidR="008B7CC0" w:rsidRDefault="008B7CC0">
      <w:r>
        <w:separator/>
      </w:r>
    </w:p>
  </w:endnote>
  <w:endnote w:type="continuationSeparator" w:id="0">
    <w:p w14:paraId="6F1178E2" w14:textId="77777777" w:rsidR="008B7CC0" w:rsidRDefault="008B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B6D3" w14:textId="77777777" w:rsidR="008B7CC0" w:rsidRDefault="008B7CC0">
      <w:r>
        <w:separator/>
      </w:r>
    </w:p>
  </w:footnote>
  <w:footnote w:type="continuationSeparator" w:id="0">
    <w:p w14:paraId="46008665" w14:textId="77777777" w:rsidR="008B7CC0" w:rsidRDefault="008B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7C2D1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2136E"/>
    <w:rsid w:val="0014311C"/>
    <w:rsid w:val="001D4951"/>
    <w:rsid w:val="002A64E2"/>
    <w:rsid w:val="006E37FD"/>
    <w:rsid w:val="006F7F6F"/>
    <w:rsid w:val="00793570"/>
    <w:rsid w:val="007C2D1B"/>
    <w:rsid w:val="008030FF"/>
    <w:rsid w:val="00833978"/>
    <w:rsid w:val="008B7CC0"/>
    <w:rsid w:val="0092425D"/>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8565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2026-06-05T11:46:00Z</dcterms:created>
  <dcterms:modified xsi:type="dcterms:W3CDTF">2026-06-05T11:46:00Z</dcterms:modified>
</cp:coreProperties>
</file>