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Pr>
          <w:rStyle w:val="nfasis"/>
          <w:rFonts w:asciiTheme="minorHAnsi" w:hAnsiTheme="minorHAnsi"/>
        </w:rPr>
        <w:t>batch</w:t>
      </w:r>
      <w:r>
        <w:rPr>
          <w:rFonts w:asciiTheme="minorHAnsi" w:hAnsiTheme="minorHAnsi"/>
        </w:rPr>
        <w:t xml:space="preserve">). </w:t>
      </w:r>
    </w:p>
    <w:p w14:paraId="691AB657" w14:textId="22F9CA7E"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 xml:space="preserve">La </w:t>
      </w:r>
      <w:r>
        <w:rPr>
          <w:rFonts w:asciiTheme="minorHAnsi" w:hAnsiTheme="minorHAnsi"/>
          <w:b/>
          <w:bCs/>
        </w:rPr>
        <w:t>PAC App</w:t>
      </w:r>
      <w:r>
        <w:rPr>
          <w:rFonts w:asciiTheme="minorHAnsi" w:hAnsiTheme="minorHAnsi"/>
        </w:rPr>
        <w:t xml:space="preserve"> invierte esa lógica: toma el archivo Excel de una noche individual de un paciente no visto, ejecuta el pipeline </w:t>
      </w:r>
      <w:r>
        <w:rPr>
          <w:rFonts w:asciiTheme="minorHAnsi" w:hAnsiTheme="minorHAnsi"/>
          <w:b/>
          <w:bCs/>
        </w:rPr>
        <w:t>PAC_v3</w:t>
      </w:r>
      <w:r>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Los objetivos de la interfaz son tres: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(1)  </w:t>
      </w:r>
      <w:r>
        <w:rPr>
          <w:rFonts w:asciiTheme="minorHAnsi" w:eastAsia="Arial" w:hAnsiTheme="minorHAnsi" w:cs="Arial"/>
          <w:b/>
          <w:bCs/>
        </w:rPr>
        <w:t>Procesamiento individual</w:t>
      </w:r>
      <w:r>
        <w:rPr>
          <w:rFonts w:asciiTheme="minorHAnsi" w:eastAsia="Arial" w:hAnsiTheme="minorHAnsi" w:cs="Arial"/>
        </w:rPr>
        <w:t>: ejecutar el pipeline completo (ingesta, control de calidad, detección de EDOs, clasificación de morfotipos, asignación de estados PAC y predicción)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(2)  </w:t>
      </w:r>
      <w:r>
        <w:rPr>
          <w:rFonts w:asciiTheme="minorHAnsi" w:eastAsia="Arial" w:hAnsiTheme="minorHAnsi" w:cs="Arial"/>
          <w:b/>
          <w:bCs/>
        </w:rPr>
        <w:t>Visualización interactiva</w:t>
      </w:r>
      <w:r>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lastRenderedPageBreak/>
        <w:t xml:space="preserve">(3)  </w:t>
      </w:r>
      <w:r>
        <w:rPr>
          <w:rFonts w:asciiTheme="minorHAnsi" w:eastAsia="Arial" w:hAnsiTheme="minorHAnsi" w:cs="Arial"/>
          <w:b/>
          <w:bCs/>
        </w:rPr>
        <w:t>Generación de informe</w:t>
      </w:r>
      <w:r>
        <w:rPr>
          <w:rFonts w:asciiTheme="minorHAnsi" w:eastAsia="Arial" w:hAnsiTheme="minorHAnsi" w:cs="Arial"/>
        </w:rPr>
        <w:t xml:space="preserve">: </w:t>
      </w:r>
      <w:r>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Pr>
          <w:rFonts w:asciiTheme="minorHAnsi" w:eastAsia="Arial" w:hAnsiTheme="minorHAnsi" w:cs="Arial"/>
        </w:rPr>
        <w:t xml:space="preserve">La aplicación se construyó sobre </w:t>
      </w:r>
      <w:r>
        <w:rPr>
          <w:rFonts w:asciiTheme="minorHAnsi" w:eastAsia="Arial" w:hAnsiTheme="minorHAnsi" w:cs="Arial"/>
          <w:i/>
          <w:iCs/>
        </w:rPr>
        <w:t>Streamlit</w:t>
      </w:r>
      <w:r>
        <w:rPr>
          <w:rFonts w:asciiTheme="minorHAnsi" w:eastAsia="Arial" w:hAnsiTheme="minorHAnsi" w:cs="Arial"/>
        </w:rPr>
        <w:t xml:space="preserve">, elegido por su integración nativa con el ecosistema </w:t>
      </w:r>
      <w:r>
        <w:rPr>
          <w:rFonts w:asciiTheme="minorHAnsi" w:eastAsia="Arial" w:hAnsiTheme="minorHAnsi" w:cs="Arial"/>
          <w:i/>
          <w:iCs/>
        </w:rPr>
        <w:t>Python</w:t>
      </w:r>
      <w:r>
        <w:rPr>
          <w:rFonts w:asciiTheme="minorHAnsi" w:eastAsia="Arial" w:hAnsiTheme="minorHAnsi" w:cs="Arial"/>
        </w:rPr>
        <w:t xml:space="preserve"> del pipeline y con </w:t>
      </w:r>
      <w:r>
        <w:rPr>
          <w:rFonts w:asciiTheme="minorHAnsi" w:eastAsia="Arial" w:hAnsiTheme="minorHAnsi" w:cs="Arial"/>
          <w:i/>
          <w:iCs/>
        </w:rPr>
        <w:t>Plotly</w:t>
      </w:r>
      <w:r>
        <w:rPr>
          <w:rFonts w:asciiTheme="minorHAnsi" w:eastAsia="Arial" w:hAnsiTheme="minorHAnsi" w:cs="Arial"/>
        </w:rPr>
        <w:t xml:space="preserve">. El sistema se organiza en cuatro capas: (1) </w:t>
      </w:r>
      <w:r>
        <w:rPr>
          <w:rFonts w:asciiTheme="minorHAnsi" w:eastAsia="Arial" w:hAnsiTheme="minorHAnsi" w:cs="Arial"/>
          <w:b/>
          <w:bCs/>
        </w:rPr>
        <w:t>módulos core</w:t>
      </w:r>
      <w:r>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Pr>
          <w:rFonts w:asciiTheme="minorHAnsi" w:hAnsiTheme="minorHAnsi"/>
          <w:b/>
          <w:bCs/>
        </w:rPr>
        <w:t xml:space="preserve"> un</w:t>
      </w:r>
      <w:r>
        <w:rPr>
          <w:rFonts w:asciiTheme="minorHAnsi" w:hAnsiTheme="minorHAnsi"/>
        </w:rPr>
        <w:t xml:space="preserve"> </w:t>
      </w:r>
      <w:r>
        <w:rPr>
          <w:rFonts w:asciiTheme="minorHAnsi" w:hAnsiTheme="minorHAnsi"/>
          <w:b/>
          <w:bCs/>
        </w:rPr>
        <w:t>módulo orquestador</w:t>
      </w:r>
      <w:r>
        <w:rPr>
          <w:rFonts w:asciiTheme="minorHAnsi" w:hAnsiTheme="minorHAnsi"/>
        </w:rPr>
        <w:t xml:space="preserve"> que invoca los módulos core y devuelve un diccionario único de resultados estructurado por niveles</w:t>
      </w:r>
      <w:r>
        <w:rPr>
          <w:rFonts w:asciiTheme="minorHAnsi" w:eastAsia="Arial" w:hAnsiTheme="minorHAnsi" w:cs="Arial"/>
        </w:rPr>
        <w:t xml:space="preserve">; (3) </w:t>
      </w:r>
      <w:r>
        <w:rPr>
          <w:rFonts w:asciiTheme="minorHAnsi" w:eastAsia="Arial" w:hAnsiTheme="minorHAnsi" w:cs="Arial"/>
          <w:b/>
          <w:bCs/>
        </w:rPr>
        <w:t>la capa de presentación</w:t>
      </w:r>
      <w:r>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Pr>
          <w:rFonts w:asciiTheme="minorHAnsi" w:eastAsia="Arial" w:hAnsiTheme="minorHAnsi" w:cs="Arial"/>
          <w:b/>
          <w:bCs/>
        </w:rPr>
        <w:t>los artefactos de modelos</w:t>
      </w:r>
      <w:r>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Pr>
          <w:rFonts w:ascii="Segoe UI Symbol" w:eastAsia="Arial" w:hAnsi="Segoe UI Symbol" w:cs="Segoe UI Symbol"/>
          <w:i/>
          <w:iCs/>
          <w:color w:val="555555"/>
          <w:sz w:val="20"/>
          <w:szCs w:val="20"/>
        </w:rPr>
        <w:t>▸</w:t>
      </w:r>
      <w:r>
        <w:rPr>
          <w:rFonts w:asciiTheme="minorHAnsi" w:eastAsia="Arial" w:hAnsiTheme="minorHAnsi" w:cs="Arial"/>
          <w:i/>
          <w:iCs/>
          <w:color w:val="555555"/>
          <w:sz w:val="20"/>
          <w:szCs w:val="20"/>
        </w:rPr>
        <w:t xml:space="preserve"> Figuras complementarias en Anexo: Fig. 7.2 (vista general), Fig. 7.3–7.7 (capturas de cada pestaña).</w:t>
      </w:r>
    </w:p>
    <w:p w14:paraId="44DADFF0" w14:textId="77777777" w:rsidR="006E37FD" w:rsidRDefault="006E37FD" w:rsidP="00FE55A9">
      <w:pPr>
        <w:spacing w:after="200" w:line="360" w:lineRule="auto"/>
        <w:jc w:val="both"/>
        <w:rPr>
          <w:rFonts w:asciiTheme="minorHAnsi" w:hAnsiTheme="minorHAnsi"/>
        </w:rPr>
      </w:pPr>
      <w:r>
        <w:rPr>
          <w:rFonts w:asciiTheme="minorHAnsi" w:hAnsiTheme="minorHAnsi"/>
        </w:rPr>
        <w:t xml:space="preserve">La pestaña Resumen incorpora además un sistema de alertas de discordancia que se activa cuando el Risk Score es moderado o bajo (&lt; 61) pero los índices de acoplamiento superan umbrales de riesgo. Se distinguen dos niveles: discordancia estructural (CI_M ≥ 0,70 y CI_L ≥ 0,50), donde todos o casi todos los eventos severos ocurrieron en estados M y L patológicos simultáneamente; y discordancia de acoplamiento (CI_M ≥ 0,65 o CI_L ≥ 0,50 sin alcanzar el umbral estructural). Este sistema responde al gradiente autonómico inverso documentado en Cap04 §4.3.3: los morfotipos más severos coexisten con menor reactividad autonómica, lo que puede traducirse en scores que subestiman la gravedad estructural de la noche.</w:t>
      </w:r>
    </w:p>
    <w:p w14:paraId="44DADF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lastRenderedPageBreak/>
        <w:t>Para ilustrar el flujo completo, se describe el procesamiento de una noche representativa del fenotipo Carga Hipóxica Alta (Cap06 §6.5). Los valores son ilustrativos dentro del rango observado en la cohorte —construidos a partir de las distribuciones de nights.parquet para ese fenotipo— y no corresponden a un registro individual identificado.</w:t>
      </w:r>
    </w:p>
    <w:p w14:paraId="74A9A05F"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Al cargar el archivo Excel del SOMNI 6000 (tres bloques de señal: SpO₂, FC, MOV), el pipeline completa el procesamiento en aproximadamente 18 segundos en un laptop estándar (Apple M2, 16 GB RAM), dentro del límite operacional de 60 segundos definido en §7.1. El resultado devuelve 87 EDOs detectados (ODI₂ estimado: 10,4 ev/h), de los cuales 7 corresponden a morfotipos C4 o C5 (8,0 %). El T90 es de 4,2 %. El Risk Score PAC resultante es 74 —en la banda Alto—, impulsado principalmente por la fracción elevada de M1 (31 % del tiempo de registro) y un coupling index ci_m de 0,82.</w:t>
      </w:r>
    </w:p>
    <w:p w14:paraId="2A7A5154"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En la pestaña Historia Nocturna, el gráfico integrado evidencia visualmente la co-ocurrencia entre las bandas del estado M1 y los sombreados de morfotipos C4/C5 sobre la señal SpO₂, expresión gráfica del acoplamiento cuantificado en §6.2. La matriz de transición revela alta probabilidad de transición M1→M1 (0,44), señalando la inercia del estado de mayor carga hipóxica descrita en §6.4. El módulo de Informe IA genera una síntesis que identifica el patrón de hipoxemia moderada-severa, la dominancia del estado M1 como contexto fisiológico predominante y sugiere considerar seguimiento con PSG de titulación. Este ejemplo ilustra que el flujo completo —desde el archivo Excel hasta el informe descargable— opera de manera coherente con los resultados del análisis batch.</w:t>
      </w:r>
    </w:p>
    <w:p w14:paraId="318EBD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La PAC App constituye la primera prueba de concepto de que las representaciones desarrolladas en Cap04–06 pueden operar fuera del entorno de investigación y </w:t>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