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120" w:before="0"/>
        <w:jc w:val="left"/>
      </w:pPr>
      <w:r>
        <w:rPr>
          <w:rFonts w:ascii="Arial" w:cs="Arial" w:eastAsia="Arial" w:hAnsi="Arial"/>
          <w:b/>
          <w:bCs/>
          <w:color w:val="6B7280"/>
          <w:sz w:val="20"/>
          <w:szCs w:val="20"/>
        </w:rPr>
        <w:t xml:space="preserve">CAPÍTULO 7</w:t>
      </w:r>
    </w:p>
    <w:p>
      <w:pPr>
        <w:spacing w:after="200" w:before="0"/>
        <w:jc w:val="left"/>
      </w:pPr>
      <w:r>
        <w:rPr>
          <w:rFonts w:ascii="Arial" w:cs="Arial" w:eastAsia="Arial" w:hAnsi="Arial"/>
          <w:b/>
          <w:bCs/>
          <w:color w:val="1E3A5F"/>
          <w:sz w:val="36"/>
          <w:szCs w:val="36"/>
        </w:rPr>
        <w:t xml:space="preserve">Interfaz Clínica Interactiva: PAC App</w:t>
      </w:r>
    </w:p>
    <w:p>
      <w:pPr>
        <w:spacing w:after="600" w:before="0"/>
        <w:jc w:val="left"/>
      </w:pPr>
      <w:r>
        <w:rPr>
          <w:rFonts w:ascii="Arial" w:cs="Arial" w:eastAsia="Arial" w:hAnsi="Arial"/>
          <w:b w:val="false"/>
          <w:bCs w:val="false"/>
          <w:color w:val="6B7280"/>
          <w:sz w:val="18"/>
          <w:szCs w:val="18"/>
        </w:rPr>
        <w:t xml:space="preserve">Versión 1  ·  Mayo 2026</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2"/>
              <w:left w:val="single" w:color="1E3A5F" w:sz="12"/>
              <w:bottom w:val="single" w:color="D0D8E4" w:sz="2"/>
              <w:right w:val="single" w:color="D0D8E4" w:sz="2"/>
            </w:tcBorders>
            <w:shd w:fill="F5F8FC" w:val="clear"/>
            <w:tcMar>
              <w:top w:type="dxa" w:w="140"/>
              <w:left w:type="dxa" w:w="200"/>
              <w:bottom w:type="dxa" w:w="140"/>
              <w:right w:type="dxa" w:w="200"/>
            </w:tcMar>
          </w:tcPr>
          <w:p>
            <w:pPr>
              <w:spacing w:after="50" w:before="50"/>
            </w:pPr>
            <w:r>
              <w:rPr>
                <w:rFonts w:ascii="Arial" w:cs="Arial" w:eastAsia="Arial" w:hAnsi="Arial"/>
                <w:b/>
                <w:bCs/>
                <w:color w:val="000000"/>
                <w:sz w:val="20"/>
                <w:szCs w:val="20"/>
              </w:rPr>
              <w:t xml:space="preserve">Contenido de este capítulo</w:t>
            </w:r>
          </w:p>
          <w:p>
            <w:pPr>
              <w:spacing w:after="50" w:before="50"/>
            </w:pPr>
            <w:r>
              <w:rPr>
                <w:rFonts w:ascii="Arial" w:cs="Arial" w:eastAsia="Arial" w:hAnsi="Arial"/>
                <w:b w:val="false"/>
                <w:bCs w:val="false"/>
                <w:color w:val="000000"/>
                <w:sz w:val="20"/>
                <w:szCs w:val="20"/>
              </w:rPr>
              <w:t xml:space="preserve">7.1  Motivación y objetivos de la interfaz</w:t>
            </w:r>
          </w:p>
          <w:p>
            <w:pPr>
              <w:spacing w:after="50" w:before="50"/>
            </w:pPr>
            <w:r>
              <w:rPr>
                <w:rFonts w:ascii="Arial" w:cs="Arial" w:eastAsia="Arial" w:hAnsi="Arial"/>
                <w:b w:val="false"/>
                <w:bCs w:val="false"/>
                <w:color w:val="000000"/>
                <w:sz w:val="20"/>
                <w:szCs w:val="20"/>
              </w:rPr>
              <w:t xml:space="preserve">7.2  Arquitectura del sistema</w:t>
            </w:r>
          </w:p>
          <w:p>
            <w:pPr>
              <w:spacing w:after="50" w:before="50"/>
            </w:pPr>
            <w:r>
              <w:rPr>
                <w:rFonts w:ascii="Arial" w:cs="Arial" w:eastAsia="Arial" w:hAnsi="Arial"/>
                <w:b w:val="false"/>
                <w:bCs w:val="false"/>
                <w:color w:val="000000"/>
                <w:sz w:val="20"/>
                <w:szCs w:val="20"/>
              </w:rPr>
              <w:t xml:space="preserve">7.3  Pipeline de procesamiento por noche</w:t>
            </w:r>
          </w:p>
          <w:p>
            <w:pPr>
              <w:spacing w:after="50" w:before="50"/>
            </w:pPr>
            <w:r>
              <w:rPr>
                <w:rFonts w:ascii="Arial" w:cs="Arial" w:eastAsia="Arial" w:hAnsi="Arial"/>
                <w:b w:val="false"/>
                <w:bCs w:val="false"/>
                <w:color w:val="000000"/>
                <w:sz w:val="20"/>
                <w:szCs w:val="20"/>
              </w:rPr>
              <w:t xml:space="preserve">7.4  Interfaz de usuario: cinco pestañas</w:t>
            </w:r>
          </w:p>
          <w:p>
            <w:pPr>
              <w:spacing w:after="50" w:before="50"/>
            </w:pPr>
            <w:r>
              <w:rPr>
                <w:rFonts w:ascii="Arial" w:cs="Arial" w:eastAsia="Arial" w:hAnsi="Arial"/>
                <w:b w:val="false"/>
                <w:bCs w:val="false"/>
                <w:color w:val="000000"/>
                <w:sz w:val="20"/>
                <w:szCs w:val="20"/>
              </w:rPr>
              <w:t xml:space="preserve">7.5  Módulo de Informe IA y consideraciones éticas</w:t>
            </w:r>
          </w:p>
          <w:p>
            <w:pPr>
              <w:spacing w:after="50" w:before="50"/>
            </w:pPr>
            <w:r>
              <w:rPr>
                <w:rFonts w:ascii="Arial" w:cs="Arial" w:eastAsia="Arial" w:hAnsi="Arial"/>
                <w:b w:val="false"/>
                <w:bCs w:val="false"/>
                <w:color w:val="000000"/>
                <w:sz w:val="20"/>
                <w:szCs w:val="20"/>
              </w:rPr>
              <w:t xml:space="preserve">7.6  Limitaciones y trabajo futuro</w:t>
            </w:r>
          </w:p>
          <w:p>
            <w:pPr>
              <w:spacing w:after="50" w:before="50"/>
            </w:pPr>
            <w:r>
              <w:rPr>
                <w:rFonts w:ascii="Arial" w:cs="Arial" w:eastAsia="Arial" w:hAnsi="Arial"/>
                <w:b w:val="false"/>
                <w:bCs w:val="false"/>
                <w:color w:val="000000"/>
                <w:sz w:val="20"/>
                <w:szCs w:val="20"/>
              </w:rPr>
              <w:t xml:space="preserve">7.7  Conclusiones y bridge al Capítulo 8</w:t>
            </w:r>
          </w:p>
          <w:p>
            <w:pPr>
              <w:spacing w:after="50" w:before="50"/>
            </w:pPr>
            <w:r>
              <w:rPr>
                <w:rFonts w:ascii="Arial" w:cs="Arial" w:eastAsia="Arial" w:hAnsi="Arial"/>
                <w:b w:val="false"/>
                <w:bCs w:val="false"/>
                <w:color w:val="000000"/>
                <w:sz w:val="20"/>
                <w:szCs w:val="20"/>
              </w:rPr>
              <w:t xml:space="preserve">Referencias</w:t>
            </w:r>
          </w:p>
        </w:tc>
      </w:tr>
    </w:tbl>
    <w:p>
      <w:pPr>
        <w:spacing w:after="60" w:before="0"/>
        <w:jc w:val="left"/>
      </w:pPr>
      <w:r>
        <w:rPr>
          <w:rFonts w:ascii="Arial" w:cs="Arial" w:eastAsia="Arial" w:hAnsi="Arial"/>
          <w:b w:val="false"/>
          <w:bCs w:val="false"/>
          <w:color w:val="000000"/>
          <w:sz w:val="22"/>
          <w:szCs w:val="22"/>
        </w:rPr>
        <w:t xml:space="preserve"/>
      </w:r>
    </w:p>
    <w:p>
      <w:pPr>
        <w:spacing w:after="60" w:before="0"/>
        <w:jc w:val="left"/>
      </w:pPr>
      <w:r>
        <w:rPr>
          <w:rFonts w:ascii="Arial" w:cs="Arial" w:eastAsia="Arial" w:hAnsi="Arial"/>
          <w:b w:val="false"/>
          <w:bCs w:val="false"/>
          <w:color w:val="000000"/>
          <w:sz w:val="22"/>
          <w:szCs w:val="22"/>
        </w:rPr>
        <w:t xml:space="preserve"/>
      </w:r>
    </w:p>
    <w:p>
      <w:pPr>
        <w:spacing w:after="80" w:before="0"/>
        <w:jc w:val="left"/>
      </w:pPr>
      <w:r>
        <w:rPr>
          <w:rFonts w:ascii="Arial" w:cs="Arial" w:eastAsia="Arial" w:hAnsi="Arial"/>
          <w:b w:val="false"/>
          <w:bCs w:val="false"/>
          <w:color w:val="6B7280"/>
          <w:sz w:val="18"/>
          <w:szCs w:val="18"/>
        </w:rPr>
        <w:t xml:space="preserve">Roberto Inza · Universidad Austral · Maestría en Explotación de Datos y Gestión del Conocimiento</w:t>
      </w:r>
    </w:p>
    <w:p>
      <w:r>
        <w:br w:type="page"/>
      </w:r>
    </w:p>
    <w:p>
      <w:pPr>
        <w:sectPr>
          <w:pgSz w:w="11906" w:h="16838" w:orient="portrait"/>
          <w:pgMar w:top="1440" w:right="1440" w:bottom="1440" w:left="1800" w:header="708" w:footer="708" w:gutter="0"/>
          <w:pgNumType/>
          <w:titlePg w:val="false"/>
          <w:docGrid w:linePitch="360"/>
        </w:sectPr>
      </w:pPr>
    </w:p>
    <w:p>
      <w:pPr>
        <w:spacing w:after="100" w:before="80"/>
        <w:jc w:val="left"/>
      </w:pPr>
      <w:r>
        <w:rPr>
          <w:rFonts w:ascii="Arial" w:cs="Arial" w:eastAsia="Arial" w:hAnsi="Arial"/>
          <w:b w:val="false"/>
          <w:bCs w:val="false"/>
          <w:color w:val="000000"/>
          <w:sz w:val="22"/>
          <w:szCs w:val="22"/>
        </w:rPr>
        <w:t xml:space="preserve">Los capítulos precedentes construyeron, desde la señal bruta del pulsioxímetro hasta los modelos predictivos, un conjunto de representaciones analíticas de la fisiología nocturna del SAOS: morfotipos de curvas SpO₂ (Cap04), el Índice de Reactividad Autonómica o ARI (Cap04), los estados PAC en tres escalas temporales (Cap05), y el Risk Score nocturno basado en LightGBM y regresión logística (Cap06). Estas representaciones, aunque computacionalmente rigurosas, requieren una interfaz de traducción para ser utilizables en la práctica clínica cotidiana. El presente capítulo describe el desarrollo de la </w:t>
      </w:r>
      <w:r>
        <w:rPr>
          <w:rFonts w:ascii="Arial" w:cs="Arial" w:eastAsia="Arial" w:hAnsi="Arial"/>
          <w:b w:val="false"/>
          <w:bCs w:val="false"/>
          <w:color w:val="000000"/>
          <w:sz w:val="22"/>
          <w:szCs w:val="22"/>
        </w:rPr>
        <w:t xml:space="preserve">PAC App</w:t>
      </w:r>
      <w:r>
        <w:rPr>
          <w:rFonts w:ascii="Arial" w:cs="Arial" w:eastAsia="Arial" w:hAnsi="Arial"/>
          <w:b w:val="false"/>
          <w:bCs w:val="false"/>
          <w:color w:val="000000"/>
          <w:sz w:val="22"/>
          <w:szCs w:val="22"/>
        </w:rPr>
        <w:t xml:space="preserve">, una aplicación web interactiva que busca materializar esas representaciones en un flujo de trabajo accesible para el especialista: cargar el archivo de oximetría nocturna generado por el dispositivo SOMNI 6000, obtener en minutos un perfil fenotípico completo, y —opcionalmente— generar un informe clínico en lenguaje natural mediante inteligencia artificial generativa.</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7.1  Motivación y objetivos de la interfaz</w:t>
      </w:r>
    </w:p>
    <w:p>
      <w:pPr>
        <w:spacing w:after="100" w:before="80"/>
        <w:jc w:val="left"/>
      </w:pPr>
      <w:r>
        <w:rPr>
          <w:rFonts w:ascii="Arial" w:cs="Arial" w:eastAsia="Arial" w:hAnsi="Arial"/>
          <w:b w:val="false"/>
          <w:bCs w:val="false"/>
          <w:color w:val="000000"/>
          <w:sz w:val="22"/>
          <w:szCs w:val="22"/>
        </w:rPr>
        <w:t xml:space="preserve">El análisis desarrollado en los capítulos anteriores operó sobre la cohorte completa en modo </w:t>
      </w:r>
      <w:r>
        <w:rPr>
          <w:rFonts w:ascii="Arial" w:cs="Arial" w:eastAsia="Arial" w:hAnsi="Arial"/>
          <w:b w:val="false"/>
          <w:bCs w:val="false"/>
          <w:color w:val="000000"/>
          <w:sz w:val="22"/>
          <w:szCs w:val="22"/>
        </w:rPr>
        <w:t xml:space="preserve">batch</w:t>
      </w:r>
      <w:r>
        <w:rPr>
          <w:rFonts w:ascii="Arial" w:cs="Arial" w:eastAsia="Arial" w:hAnsi="Arial"/>
          <w:b w:val="false"/>
          <w:bCs w:val="false"/>
          <w:color w:val="000000"/>
          <w:sz w:val="22"/>
          <w:szCs w:val="22"/>
        </w:rPr>
        <w:t xml:space="preserve">: cada cuaderno de análisis (NB01–NB07) procesó simultáneamente las 560 noches disponibles, produciendo tablas Gold y artefactos de modelos entrenados. Este modo de operación, apropiado para la investigación, no es compatible con el flujo clínico real, en el que el médico recibe —noche a noche— el archivo Excel generado por el dispositivo SOMNI 6000 para un paciente individual. La PAC App busca cerrar esa brecha: tomar el mismo archivo de oximetría domiciliaria, ejecutar el pipeline PAC_v3 sobre esa única noche, y devolver al clínico una interpretación estructurada.</w:t>
      </w:r>
    </w:p>
    <w:p>
      <w:pPr>
        <w:spacing w:after="100" w:before="80"/>
        <w:jc w:val="left"/>
      </w:pPr>
      <w:r>
        <w:rPr>
          <w:rFonts w:ascii="Arial" w:cs="Arial" w:eastAsia="Arial" w:hAnsi="Arial"/>
          <w:b w:val="false"/>
          <w:bCs w:val="false"/>
          <w:color w:val="000000"/>
          <w:sz w:val="22"/>
          <w:szCs w:val="22"/>
        </w:rPr>
        <w:t xml:space="preserve">Los objetivos de la interfaz son tres:</w:t>
      </w:r>
    </w:p>
    <w:p>
      <w:pPr>
        <w:pStyle w:val="ListParagraph"/>
        <w:numPr>
          <w:ilvl w:val="0"/>
          <w:numId w:val="2"/>
        </w:numPr>
        <w:spacing w:after="80" w:before="80"/>
      </w:pPr>
      <w:r>
        <w:rPr>
          <w:rFonts w:ascii="Arial" w:cs="Arial" w:eastAsia="Arial" w:hAnsi="Arial"/>
          <w:b/>
          <w:bCs/>
          <w:color w:val="000000"/>
          <w:sz w:val="22"/>
          <w:szCs w:val="22"/>
        </w:rPr>
        <w:t xml:space="preserve">Procesamiento individual: </w:t>
      </w:r>
      <w:r>
        <w:rPr>
          <w:rFonts w:ascii="Arial" w:cs="Arial" w:eastAsia="Arial" w:hAnsi="Arial"/>
          <w:b w:val="false"/>
          <w:bCs w:val="false"/>
          <w:color w:val="000000"/>
          <w:sz w:val="22"/>
          <w:szCs w:val="22"/>
        </w:rPr>
        <w:t xml:space="preserve">ejecutar el pipeline completo —ingesta, control de calidad, detección de EDOs, clasificación de morfotipos, asignación de estados PAC, cómputo de features y predicción— sobre una sola noche, en un tiempo de respuesta compatible con el uso clínico (&lt; 60 segundos en hardware estándar).</w:t>
      </w:r>
    </w:p>
    <w:p>
      <w:pPr>
        <w:pStyle w:val="ListParagraph"/>
        <w:numPr>
          <w:ilvl w:val="0"/>
          <w:numId w:val="2"/>
        </w:numPr>
        <w:spacing w:after="80" w:before="80"/>
      </w:pPr>
      <w:r>
        <w:rPr>
          <w:rFonts w:ascii="Arial" w:cs="Arial" w:eastAsia="Arial" w:hAnsi="Arial"/>
          <w:b/>
          <w:bCs/>
          <w:color w:val="000000"/>
          <w:sz w:val="22"/>
          <w:szCs w:val="22"/>
        </w:rPr>
        <w:t xml:space="preserve">Visualización interactiva: </w:t>
      </w:r>
      <w:r>
        <w:rPr>
          <w:rFonts w:ascii="Arial" w:cs="Arial" w:eastAsia="Arial" w:hAnsi="Arial"/>
          <w:b w:val="false"/>
          <w:bCs w:val="false"/>
          <w:color w:val="000000"/>
          <w:sz w:val="22"/>
          <w:szCs w:val="22"/>
        </w:rPr>
        <w:t xml:space="preserve">exponer las representaciones PAC en gráficos interactivos que permitan al especialista explorar la señal, los eventos, los estados fisiológicos y la trayectoria nocturna a distintos niveles de granularidad.</w:t>
      </w:r>
    </w:p>
    <w:p>
      <w:pPr>
        <w:pStyle w:val="ListParagraph"/>
        <w:numPr>
          <w:ilvl w:val="0"/>
          <w:numId w:val="2"/>
        </w:numPr>
        <w:spacing w:after="80" w:before="80"/>
      </w:pPr>
      <w:r>
        <w:rPr>
          <w:rFonts w:ascii="Arial" w:cs="Arial" w:eastAsia="Arial" w:hAnsi="Arial"/>
          <w:b/>
          <w:bCs/>
          <w:color w:val="000000"/>
          <w:sz w:val="22"/>
          <w:szCs w:val="22"/>
        </w:rPr>
        <w:t xml:space="preserve">Generación de informe: </w:t>
      </w:r>
      <w:r>
        <w:rPr>
          <w:rFonts w:ascii="Arial" w:cs="Arial" w:eastAsia="Arial" w:hAnsi="Arial"/>
          <w:b w:val="false"/>
          <w:bCs w:val="false"/>
          <w:color w:val="000000"/>
          <w:sz w:val="22"/>
          <w:szCs w:val="22"/>
        </w:rPr>
        <w:t xml:space="preserve">producir, mediante un modelo de lenguaje, un informe narrativo estructurado en dos audiencias —el médico especialista y el propio paciente— descargable en formato Word.</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usuario objetivo es el especialista en medicina del sueño o neumólogo que opera el SOMNI 6000 en contexto clínico ambulatorio y que busca complementar los índices clásicos del dispositivo —ODI3, SpO₂ media, T90— con las representaciones fenotípicas del sistema PAC. La app no busca reemplazar la interpretación clínica del especialista, sino ofrecerle una capa adicional de información estructurada sobre la arquitectura fisiológica nocturna.</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7.2  Arquitectura del sistema</w:t>
      </w:r>
    </w:p>
    <w:p>
      <w:pPr>
        <w:spacing w:after="100" w:before="80"/>
        <w:jc w:val="left"/>
      </w:pPr>
      <w:r>
        <w:rPr>
          <w:rFonts w:ascii="Arial" w:cs="Arial" w:eastAsia="Arial" w:hAnsi="Arial"/>
          <w:b w:val="false"/>
          <w:bCs w:val="false"/>
          <w:color w:val="000000"/>
          <w:sz w:val="22"/>
          <w:szCs w:val="22"/>
        </w:rPr>
        <w:t xml:space="preserve">La aplicación se construyó sobre </w:t>
      </w:r>
      <w:r>
        <w:rPr>
          <w:rFonts w:ascii="Arial" w:cs="Arial" w:eastAsia="Arial" w:hAnsi="Arial"/>
          <w:b w:val="false"/>
          <w:bCs w:val="false"/>
          <w:color w:val="000000"/>
          <w:sz w:val="22"/>
          <w:szCs w:val="22"/>
        </w:rPr>
        <w:t xml:space="preserve">Streamlit</w:t>
      </w:r>
      <w:r>
        <w:rPr>
          <w:rFonts w:ascii="Arial" w:cs="Arial" w:eastAsia="Arial" w:hAnsi="Arial"/>
          <w:b w:val="false"/>
          <w:bCs w:val="false"/>
          <w:color w:val="000000"/>
          <w:sz w:val="22"/>
          <w:szCs w:val="22"/>
        </w:rPr>
        <w:t xml:space="preserve"> (Streamlit Inc., 2019), un framework de Python orientado a la construcción de interfaces de datos analíticos. La elección de Streamlit responde a tres factores: (a) permite desarrollar interfaces web sin conocimientos de HTML/CSS, manteniendo el proyecto dentro del ecosistema Python del pipeline; (b) ofrece integración nativa con la biblioteca de visualización </w:t>
      </w:r>
      <w:r>
        <w:rPr>
          <w:rFonts w:ascii="Arial" w:cs="Arial" w:eastAsia="Arial" w:hAnsi="Arial"/>
          <w:b w:val="false"/>
          <w:bCs w:val="false"/>
          <w:color w:val="000000"/>
          <w:sz w:val="22"/>
          <w:szCs w:val="22"/>
        </w:rPr>
        <w:t xml:space="preserve">Plotly</w:t>
      </w:r>
      <w:r>
        <w:rPr>
          <w:rFonts w:ascii="Arial" w:cs="Arial" w:eastAsia="Arial" w:hAnsi="Arial"/>
          <w:b w:val="false"/>
          <w:bCs w:val="false"/>
          <w:color w:val="000000"/>
          <w:sz w:val="22"/>
          <w:szCs w:val="22"/>
        </w:rPr>
        <w:t xml:space="preserve"> utilizada en el análisis; y (c) su modelo de ejecución reactivo —donde cualquier cambio en la interfaz re-ejecuta el script completo— simplifica el manejo de estado y la invalidación de caché.</w:t>
      </w:r>
    </w:p>
    <w:p>
      <w:pPr>
        <w:spacing w:after="100" w:before="80"/>
        <w:jc w:val="left"/>
      </w:pPr>
      <w:r>
        <w:rPr>
          <w:rFonts w:ascii="Arial" w:cs="Arial" w:eastAsia="Arial" w:hAnsi="Arial"/>
          <w:b w:val="false"/>
          <w:bCs w:val="false"/>
          <w:color w:val="000000"/>
          <w:sz w:val="22"/>
          <w:szCs w:val="22"/>
        </w:rPr>
        <w:t xml:space="preserve">El sistema se organiza en cuatro capas:</w:t>
      </w:r>
    </w:p>
    <w:p>
      <w:pPr>
        <w:pStyle w:val="ListParagraph"/>
        <w:numPr>
          <w:ilvl w:val="0"/>
          <w:numId w:val="3"/>
        </w:numPr>
        <w:spacing w:after="60" w:before="60"/>
      </w:pPr>
      <w:r>
        <w:rPr>
          <w:rFonts w:ascii="Arial" w:cs="Arial" w:eastAsia="Arial" w:hAnsi="Arial"/>
          <w:b w:val="false"/>
          <w:bCs w:val="false"/>
          <w:color w:val="000000"/>
          <w:sz w:val="22"/>
          <w:szCs w:val="22"/>
        </w:rPr>
        <w:t xml:space="preserve">Módulos core (src/pac/): contienen los módulos de ingesta, detección de eventos, morfotipos de curva y escalar, construcción de ventanas y asignación de estados. Estos módulos son compartidos con el pipeline de investigación NB01–NB07, garantizando consistencia entre el análisis batch y la aplicación.</w:t>
      </w:r>
    </w:p>
    <w:p>
      <w:pPr>
        <w:pStyle w:val="ListParagraph"/>
        <w:numPr>
          <w:ilvl w:val="0"/>
          <w:numId w:val="3"/>
        </w:numPr>
        <w:spacing w:after="60" w:before="60"/>
      </w:pPr>
      <w:r>
        <w:rPr>
          <w:rFonts w:ascii="Arial" w:cs="Arial" w:eastAsia="Arial" w:hAnsi="Arial"/>
          <w:b w:val="false"/>
          <w:bCs w:val="false"/>
          <w:color w:val="000000"/>
          <w:sz w:val="22"/>
          <w:szCs w:val="22"/>
        </w:rPr>
        <w:t xml:space="preserve">Pipeline de aplicación (app/pipeline.py): un orquestador delgado que invoca los módulos core en secuencia, carga los artefactos de modelos entrenados desde models/, y devuelve un diccionario de resultados estructurado al nivel de presentación.</w:t>
      </w:r>
    </w:p>
    <w:p>
      <w:pPr>
        <w:pStyle w:val="ListParagraph"/>
        <w:numPr>
          <w:ilvl w:val="0"/>
          <w:numId w:val="3"/>
        </w:numPr>
        <w:spacing w:after="60" w:before="60"/>
      </w:pPr>
      <w:r>
        <w:rPr>
          <w:rFonts w:ascii="Arial" w:cs="Arial" w:eastAsia="Arial" w:hAnsi="Arial"/>
          <w:b w:val="false"/>
          <w:bCs w:val="false"/>
          <w:color w:val="000000"/>
          <w:sz w:val="22"/>
          <w:szCs w:val="22"/>
        </w:rPr>
        <w:t xml:space="preserve">Capa de presentación (app/app.py): la interfaz Streamlit, organizada en cinco pestañas, que consume el diccionario de resultados y construye las visualizaciones interactivas mediante Plotly.</w:t>
      </w:r>
    </w:p>
    <w:p>
      <w:pPr>
        <w:pStyle w:val="ListParagraph"/>
        <w:numPr>
          <w:ilvl w:val="0"/>
          <w:numId w:val="3"/>
        </w:numPr>
        <w:spacing w:after="60" w:before="60"/>
      </w:pPr>
      <w:r>
        <w:rPr>
          <w:rFonts w:ascii="Arial" w:cs="Arial" w:eastAsia="Arial" w:hAnsi="Arial"/>
          <w:b w:val="false"/>
          <w:bCs w:val="false"/>
          <w:color w:val="000000"/>
          <w:sz w:val="22"/>
          <w:szCs w:val="22"/>
        </w:rPr>
        <w:t xml:space="preserve">Artefactos de modelos (models/): archivos .pkl y .json que contienen los modelos KMeans de morfotipos y estados (NB01, NB04), los modelos LightGBM y regresión logística de predicción (NB06–NB07), el modelo de trayectorias nocturnas (NB05), y la configuración de features nb06_config.json.</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7.1 — Diagrama de arquitectura de la PAC App ]
Archivo Excel SOMNI → app/pipeline.py (10 pasos) → Diccionario de resultados → app/app.py → 5 pestañas Streamlit</w:t>
            </w:r>
          </w:p>
        </w:tc>
      </w:tr>
    </w:tbl>
    <w:p>
      <w:pPr>
        <w:spacing w:after="180" w:before="60"/>
        <w:jc w:val="center"/>
      </w:pPr>
      <w:r>
        <w:rPr>
          <w:rFonts w:ascii="Arial" w:cs="Arial" w:eastAsia="Arial" w:hAnsi="Arial"/>
          <w:b w:val="false"/>
          <w:bCs w:val="false"/>
          <w:color w:val="6B7280"/>
          <w:sz w:val="19"/>
          <w:szCs w:val="19"/>
        </w:rPr>
        <w:t xml:space="preserve">Figura 7.1. Arquitectura de la PAC App. El archivo Excel del dispositivo SOMNI 6000 es procesado por el módulo pipeline.py, que orquesta los módulos core de src/pac/ y carga los modelos entrenados. El diccionario de resultados es consumido por la interfaz Streamlit (app.py) para construir las cinco pestañas de visualización.</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cacheo del pipeline se implementa mediante </w:t>
      </w:r>
      <w:r>
        <w:rPr>
          <w:rFonts w:ascii="Arial" w:cs="Arial" w:eastAsia="Arial" w:hAnsi="Arial"/>
          <w:b w:val="false"/>
          <w:bCs w:val="false"/>
          <w:color w:val="000000"/>
          <w:sz w:val="22"/>
          <w:szCs w:val="22"/>
        </w:rPr>
        <w:t xml:space="preserve">st.cache_data</w:t>
      </w:r>
      <w:r>
        <w:rPr>
          <w:rFonts w:ascii="Arial" w:cs="Arial" w:eastAsia="Arial" w:hAnsi="Arial"/>
          <w:b w:val="false"/>
          <w:bCs w:val="false"/>
          <w:color w:val="000000"/>
          <w:sz w:val="22"/>
          <w:szCs w:val="22"/>
        </w:rPr>
        <w:t xml:space="preserve"> de Streamlit, parametrizado por el hash del contenido del archivo cargado y una constante de versión del pipeline (_PIPELINE_VERSION). Esto garantiza que el análisis se ejecute una única vez por archivo, incluso si el usuario navega entre pestañas o modifica controles de la interfaz, y que la actualización de los modelos invalide automáticamente la caché.</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7.3  Pipeline de procesamiento por noche</w:t>
      </w:r>
    </w:p>
    <w:p>
      <w:pPr>
        <w:spacing w:after="100" w:before="80"/>
        <w:jc w:val="left"/>
      </w:pPr>
      <w:r>
        <w:rPr>
          <w:rFonts w:ascii="Arial" w:cs="Arial" w:eastAsia="Arial" w:hAnsi="Arial"/>
          <w:b w:val="false"/>
          <w:bCs w:val="false"/>
          <w:color w:val="000000"/>
          <w:sz w:val="22"/>
          <w:szCs w:val="22"/>
        </w:rPr>
        <w:t xml:space="preserve">El módulo </w:t>
      </w:r>
      <w:r>
        <w:rPr>
          <w:rFonts w:ascii="Arial" w:cs="Arial" w:eastAsia="Arial" w:hAnsi="Arial"/>
          <w:b w:val="false"/>
          <w:bCs w:val="false"/>
          <w:color w:val="000000"/>
          <w:sz w:val="22"/>
          <w:szCs w:val="22"/>
        </w:rPr>
        <w:t xml:space="preserve">pipeline.py</w:t>
      </w:r>
      <w:r>
        <w:rPr>
          <w:rFonts w:ascii="Arial" w:cs="Arial" w:eastAsia="Arial" w:hAnsi="Arial"/>
          <w:b w:val="false"/>
          <w:bCs w:val="false"/>
          <w:color w:val="000000"/>
          <w:sz w:val="22"/>
          <w:szCs w:val="22"/>
        </w:rPr>
        <w:t xml:space="preserve"> implementa el pipeline PAC_v3 como una secuencia de diez pasos. A diferencia de los cuadernos de investigación, que operan sobre las tablas Gold de la cohorte completa, este módulo parte del archivo Excel crudo del SOMNI 6000 y reconstruye la representación fenotípica en tiempo real. La Tabla 7.1 resume los pasos del pipeline.</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7066"/>
      </w:tblGrid>
      <w:tr>
        <w:trPr>
          <w:tblHeader/>
        </w:trPr>
        <w:tc>
          <w:tcPr>
            <w:tcW w:type="dxa" w:w="16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7066"/>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Pasos 1–2</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Ingesta y control de calidad: parseo del Excel de tres bloques (metadatos, resumen clásico, señales 1 Hz), reconstrucción del timestamp, normalización de señales, y flags de validez fisiológica (spo2_invalid, hr_invalid) sobre SpO₂ y FC.</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3</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Detección de EDOs: baseline móvil de 120 s, umbral de caída ≥ 2 pp, duración mínima ≥ 10 s, y recuperación al 90% del baseline local. Caracterización geométrica completa por evento: duración, profundidad, pendientes, AUC, y cómputo del ARI.</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4</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Asignación de morfotipos: curva de 30 puntos ΔSpO₂ → PCA → KMeans → etiqueta C1–C5. Paralelamente, vector de 10 features escalares → KMeans → morfotipo α/β/γ/δ.</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Pasos 5–6</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Ventanas y estados PAC: segmentación en ventanas S (30 s), M (5 min) y L (30 min); vector de 24 features por ventana; asignación de estado PAC mediante KMeans NB04 → etiquetas S0–S6, M0–M4, L0–L3.</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7</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Mapeo evento–estado: cada EDO recibe la etiqueta del estado PAC activo en su ts_start para las tres escalas, más el estado M previo (pre_state_m).</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8</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 A1 (nivel evento): rolling de 30 eventos previos → fracción en estados M patológicos, morfotipo medio reciente, coupling index acumulado, posición temporal relativa en la noche.</w:t>
            </w:r>
          </w:p>
        </w:tc>
      </w:tr>
      <w:tr>
        <w:tc>
          <w:tcPr>
            <w:tcW w:type="dxa" w:w="1600"/>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bCs/>
                <w:color w:val="1E3A5F"/>
                <w:sz w:val="20"/>
                <w:szCs w:val="20"/>
              </w:rPr>
              <w:t xml:space="preserve">Paso 9</w:t>
            </w:r>
          </w:p>
        </w:tc>
        <w:tc>
          <w:tcPr>
            <w:tcW w:type="dxa" w:w="7066"/>
            <w:tcBorders>
              <w:top w:val="single" w:color="D0D8E4" w:sz="1"/>
              <w:left w:val="single" w:color="D0D8E4" w:sz="1"/>
              <w:bottom w:val="single" w:color="D0D8E4" w:sz="1"/>
              <w:right w:val="single" w:color="D0D8E4" w:sz="1"/>
            </w:tcBorders>
            <w:shd w:fill="EEF3F8"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 A2 (nivel noche): 16 features nocturnas de NB06 — fracciones M0–M7, coupling indices ci_s/ci_m/ci_l, entropía, transiciones, pct_severe, mean_ari — más trayectoria nocturna (KMeans NB05).</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Paso 10</w:t>
            </w:r>
          </w:p>
        </w:tc>
        <w:tc>
          <w:tcPr>
            <w:tcW w:type="dxa" w:w="7066"/>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Predicción y Risk Score: LightGBM (AUC = 0,878) estima P(severo) por evento; LR (AUC = 0,905) estima P(noche de alto riesgo). Risk Score PAC = clip(0,40 × P_ev_norm + 0,60 × P_night) × 100 ∈ [0, 100].</w:t>
            </w:r>
          </w:p>
        </w:tc>
      </w:tr>
    </w:tbl>
    <w:p>
      <w:pPr>
        <w:spacing w:after="100" w:before="80"/>
        <w:jc w:val="left"/>
      </w:pPr>
      <w:r>
        <w:rPr>
          <w:rFonts w:ascii="Arial" w:cs="Arial" w:eastAsia="Arial" w:hAnsi="Arial"/>
          <w:b w:val="false"/>
          <w:bCs w:val="false"/>
          <w:color w:val="000000"/>
          <w:sz w:val="22"/>
          <w:szCs w:val="22"/>
        </w:rPr>
        <w:t xml:space="preserve">Tabla 7.1. Pasos del pipeline de procesamiento de la PAC App (correspondencia con pipeline.py).</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Es importante señalar que los modelos cargados en la aplicación fueron entrenados en modo LOPO-CV sobre la cohorte estricta de n=8 pacientes (Cap06 §6.8–6.12). Al aplicarlos sobre una noche individual de un nuevo paciente, el Risk Score y las probabilidades de evento reflejan el comportamiento del modelo en una cohorte de entrenamiento limitada. Como se discute en §7.6, la generalización a poblaciones distintas requiere validación prospectiva en cohortes independientes (Wasserstein &amp; Lazar, 2016).</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7.4  Interfaz de usuario: cinco pestañas</w:t>
      </w:r>
    </w:p>
    <w:p>
      <w:pPr>
        <w:spacing w:after="100" w:before="80"/>
        <w:jc w:val="left"/>
      </w:pPr>
      <w:r>
        <w:rPr>
          <w:rFonts w:ascii="Arial" w:cs="Arial" w:eastAsia="Arial" w:hAnsi="Arial"/>
          <w:b w:val="false"/>
          <w:bCs w:val="false"/>
          <w:color w:val="000000"/>
          <w:sz w:val="22"/>
          <w:szCs w:val="22"/>
        </w:rPr>
        <w:t xml:space="preserve">La interfaz se organiza en cinco pestañas, accesibles desde la barra de navegación superior. El panel lateral (sidebar) expone los controles globales: el selector de archivo Excel, el selector de escala temporal para la pestaña de estados PAC, y un botón de invalidación de caché que fuerza el re-análisis del archivo actual. La Figura 7.2 ilustra la disposición general de la interfaz.</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7.2 — Vista general de la interfaz PAC App ]
(screenshot de pantalla completa mostrando el sidebar y las cinco pestañas)</w:t>
            </w:r>
          </w:p>
        </w:tc>
      </w:tr>
    </w:tbl>
    <w:p>
      <w:pPr>
        <w:spacing w:after="180" w:before="60"/>
        <w:jc w:val="center"/>
      </w:pPr>
      <w:r>
        <w:rPr>
          <w:rFonts w:ascii="Arial" w:cs="Arial" w:eastAsia="Arial" w:hAnsi="Arial"/>
          <w:b w:val="false"/>
          <w:bCs w:val="false"/>
          <w:color w:val="6B7280"/>
          <w:sz w:val="19"/>
          <w:szCs w:val="19"/>
        </w:rPr>
        <w:t xml:space="preserve">Figura 7.2. Vista general de la PAC App. El panel lateral expone los controles globales (carga de archivo, selector de escala, versión del pipeline). Las cinco pestañas organizan el análisis de menor a mayor complejidad: desde el Risk Score de resumen hasta el informe clínico generado por IA.</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7.4.1  Pestaña "Resumen"</w:t>
      </w:r>
    </w:p>
    <w:p>
      <w:pPr>
        <w:spacing w:after="100" w:before="80"/>
        <w:jc w:val="left"/>
      </w:pPr>
      <w:r>
        <w:rPr>
          <w:rFonts w:ascii="Arial" w:cs="Arial" w:eastAsia="Arial" w:hAnsi="Arial"/>
          <w:b w:val="false"/>
          <w:bCs w:val="false"/>
          <w:color w:val="000000"/>
          <w:sz w:val="22"/>
          <w:szCs w:val="22"/>
        </w:rPr>
        <w:t xml:space="preserve">La pestaña de resumen busca ofrecer una vista de un vistazo de los hallazgos más relevantes de la noche. El elemento central es el Risk Score PAC, desplegado en un marcador numérico de gran tamaño con código de color semafórico (verde para Bajo, naranja para Moderado, rojo para Alto) y un indicador tipo velocímetro (gauge) construido con Plotly. El gauge divide el rango 0–100 en tres zonas coloreadas que se corresponden con los umbrales de categorización entrenados en NB06.</w:t>
      </w:r>
    </w:p>
    <w:p>
      <w:pPr>
        <w:spacing w:after="100" w:before="80"/>
        <w:jc w:val="left"/>
      </w:pPr>
      <w:r>
        <w:rPr>
          <w:rFonts w:ascii="Arial" w:cs="Arial" w:eastAsia="Arial" w:hAnsi="Arial"/>
          <w:b w:val="false"/>
          <w:bCs w:val="false"/>
          <w:color w:val="000000"/>
          <w:sz w:val="22"/>
          <w:szCs w:val="22"/>
        </w:rPr>
        <w:t xml:space="preserve">Seis métricas clave se despliegan en tarjetas bajo el </w:t>
      </w:r>
      <w:r>
        <w:rPr>
          <w:rFonts w:ascii="Arial" w:cs="Arial" w:eastAsia="Arial" w:hAnsi="Arial"/>
          <w:b w:val="false"/>
          <w:bCs w:val="false"/>
          <w:color w:val="000000"/>
          <w:sz w:val="22"/>
          <w:szCs w:val="22"/>
        </w:rPr>
        <w:t xml:space="preserve">gauge</w:t>
      </w:r>
      <w:r>
        <w:rPr>
          <w:rFonts w:ascii="Arial" w:cs="Arial" w:eastAsia="Arial" w:hAnsi="Arial"/>
          <w:b w:val="false"/>
          <w:bCs w:val="false"/>
          <w:color w:val="000000"/>
          <w:sz w:val="22"/>
          <w:szCs w:val="22"/>
        </w:rPr>
        <w:t xml:space="preserve">: duración del registro, número total de EDOs detectados, porcentaje de EDOs severos (morfotipos C4+C5), ODI estimado (eventos por hora de registro), P(noche de alto riesgo) según el modelo de regresión logística, y P̄(evento severo) —la probabilidad media del modelo LightGBM sobre todos los eventos de la noche—. La trayectoria nocturna asignada —Estable-Protector, Carga Intermedia o Carga Hipóxica Alta— se muestra en un recuadro con fondo coloreado.</w:t>
      </w:r>
    </w:p>
    <w:p>
      <w:pPr>
        <w:spacing w:after="100" w:before="80"/>
        <w:jc w:val="left"/>
      </w:pPr>
      <w:r>
        <w:rPr>
          <w:rFonts w:ascii="Arial" w:cs="Arial" w:eastAsia="Arial" w:hAnsi="Arial"/>
          <w:b w:val="false"/>
          <w:bCs w:val="false"/>
          <w:color w:val="000000"/>
          <w:sz w:val="22"/>
          <w:szCs w:val="22"/>
        </w:rPr>
        <w:t xml:space="preserve">En la mitad inferior de la pestaña, la señal SpO₂ nocturna completa se despliega como un gráfico de línea interactivo, con los eventos de desaturación sombreados según su morfotipo C1–C5 —opacidad reducida para C1–C3, mayor intensidad para C4/C5— y una línea de referencia punteada en 90% (umbral T90). El hover unificado permite consultar el valor de SpO₂ en cualquier punto de la noche junto con el identificador del evento activo.</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7.3 — Pestaña Resumen ]
(screenshot mostrando Risk Score gauge, KPIs, trayectoria y señal SpO₂)</w:t>
            </w:r>
          </w:p>
        </w:tc>
      </w:tr>
    </w:tbl>
    <w:p>
      <w:pPr>
        <w:spacing w:after="180" w:before="60"/>
        <w:jc w:val="center"/>
      </w:pPr>
      <w:r>
        <w:rPr>
          <w:rFonts w:ascii="Arial" w:cs="Arial" w:eastAsia="Arial" w:hAnsi="Arial"/>
          <w:b w:val="false"/>
          <w:bCs w:val="false"/>
          <w:color w:val="6B7280"/>
          <w:sz w:val="19"/>
          <w:szCs w:val="19"/>
        </w:rPr>
        <w:t xml:space="preserve">Figura 7.3. Pestaña "Resumen" de la PAC App. El Risk Score central (0–100) se complementa con seis KPIs clínicos, la trayectoria nocturna, y la señal SpO₂ con eventos sombreados por morfotipo.</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7.4.2  Pestaña "Eventos y Morfotipos"</w:t>
      </w:r>
    </w:p>
    <w:p>
      <w:pPr>
        <w:spacing w:after="100" w:before="80"/>
        <w:jc w:val="left"/>
      </w:pPr>
      <w:r>
        <w:rPr>
          <w:rFonts w:ascii="Arial" w:cs="Arial" w:eastAsia="Arial" w:hAnsi="Arial"/>
          <w:b w:val="false"/>
          <w:bCs w:val="false"/>
          <w:color w:val="000000"/>
          <w:sz w:val="22"/>
          <w:szCs w:val="22"/>
        </w:rPr>
        <w:t xml:space="preserve">Esta pestaña expone el análisis de nivel evento desarrollado en el Cap04. La mitad superior muestra la distribución de morfotipos C1–C5 en un gráfico de anillo (</w:t>
      </w:r>
      <w:r>
        <w:rPr>
          <w:rFonts w:ascii="Arial" w:cs="Arial" w:eastAsia="Arial" w:hAnsi="Arial"/>
          <w:b w:val="false"/>
          <w:bCs w:val="false"/>
          <w:color w:val="000000"/>
          <w:sz w:val="22"/>
          <w:szCs w:val="22"/>
        </w:rPr>
        <w:t xml:space="preserve">donut chart</w:t>
      </w:r>
      <w:r>
        <w:rPr>
          <w:rFonts w:ascii="Arial" w:cs="Arial" w:eastAsia="Arial" w:hAnsi="Arial"/>
          <w:b w:val="false"/>
          <w:bCs w:val="false"/>
          <w:color w:val="000000"/>
          <w:sz w:val="22"/>
          <w:szCs w:val="22"/>
        </w:rPr>
        <w:t xml:space="preserve">) coloreado por el código de paleta del proyecto (azul→verde→naranja→rojo claro→rojo oscuro) y un </w:t>
      </w:r>
      <w:r>
        <w:rPr>
          <w:rFonts w:ascii="Arial" w:cs="Arial" w:eastAsia="Arial" w:hAnsi="Arial"/>
          <w:b w:val="false"/>
          <w:bCs w:val="false"/>
          <w:color w:val="000000"/>
          <w:sz w:val="22"/>
          <w:szCs w:val="22"/>
        </w:rPr>
        <w:t xml:space="preserve">box plot</w:t>
      </w:r>
      <w:r>
        <w:rPr>
          <w:rFonts w:ascii="Arial" w:cs="Arial" w:eastAsia="Arial" w:hAnsi="Arial"/>
          <w:b w:val="false"/>
          <w:bCs w:val="false"/>
          <w:color w:val="000000"/>
          <w:sz w:val="22"/>
          <w:szCs w:val="22"/>
        </w:rPr>
        <w:t xml:space="preserve"> de la profundidad de caída de SpO₂ por morfotipo, ilustrando la progresión de severidad C1→C5 ya caracterizada en Cap04 §4.2.</w:t>
      </w:r>
    </w:p>
    <w:p>
      <w:pPr>
        <w:spacing w:after="100" w:before="80"/>
        <w:jc w:val="left"/>
      </w:pPr>
      <w:r>
        <w:rPr>
          <w:rFonts w:ascii="Arial" w:cs="Arial" w:eastAsia="Arial" w:hAnsi="Arial"/>
          <w:b w:val="false"/>
          <w:bCs w:val="false"/>
          <w:color w:val="000000"/>
          <w:sz w:val="22"/>
          <w:szCs w:val="22"/>
        </w:rPr>
        <w:t xml:space="preserve">La mitad inferior despliega el timeline de eventos: un gráfico de dispersión donde el eje horizontal es el horario de la noche, el eje vertical es la caída de SpO₂ (drop_pct), el color codifica el morfotipo, el tamaño del marcador es proporcional a la duración del evento, y el símbolo (círculo vs. diamante) indica si el evento fue predicho como severo por el modelo de NB07. El hover de cada punto expone los atributos principales del evento: morfotipo, estado M activo, P(severo) predicha.</w:t>
      </w:r>
    </w:p>
    <w:p>
      <w:pPr>
        <w:spacing w:after="100" w:before="80"/>
        <w:jc w:val="left"/>
      </w:pPr>
      <w:r>
        <w:rPr>
          <w:rFonts w:ascii="Arial" w:cs="Arial" w:eastAsia="Arial" w:hAnsi="Arial"/>
          <w:b w:val="false"/>
          <w:bCs w:val="false"/>
          <w:color w:val="000000"/>
          <w:sz w:val="22"/>
          <w:szCs w:val="22"/>
        </w:rPr>
        <w:t xml:space="preserve">Un gráfico de barras adicional muestra la probabilidad P(severo) predicha por el modelo LightGBM para cada evento individual, con una línea de umbral en el punto de corte de Youden optimizado sobre el conjunto de validación LOPO-CV (0,386). Las barras se colorean por morfotipo del evento. La pestaña cierra con una tabla expandible que expone los atributos completos de cada EDO: ts_start, ts_end, duración, morfotipo, drop_pct, nadir_spo2, estado M activo, estado S activo, ARI del evento y P(severo).</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7.4 — Pestaña "Eventos y Morfotipos" ]
(screenshot mostrando donut C1–C5, box plot de drop_pct, timeline y barras P(severo))</w:t>
            </w:r>
          </w:p>
        </w:tc>
      </w:tr>
    </w:tbl>
    <w:p>
      <w:pPr>
        <w:spacing w:after="180" w:before="60"/>
        <w:jc w:val="center"/>
      </w:pPr>
      <w:r>
        <w:rPr>
          <w:rFonts w:ascii="Arial" w:cs="Arial" w:eastAsia="Arial" w:hAnsi="Arial"/>
          <w:b w:val="false"/>
          <w:bCs w:val="false"/>
          <w:color w:val="6B7280"/>
          <w:sz w:val="19"/>
          <w:szCs w:val="19"/>
        </w:rPr>
        <w:t xml:space="preserve">Figura 7.4. Pestaña "Eventos y Morfotipos". La distribución de morfotipos C1–C5 (donut), la profundidad de caída por morfotipo (box plot), el timeline de eventos coloreados y las barras de P(severo) por evento sintetizan el análisis de nivel evento del Cap04 para una única noche.</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7.4.3  Pestaña "Estados PAC"</w:t>
      </w:r>
    </w:p>
    <w:p>
      <w:pPr>
        <w:spacing w:after="100" w:before="80"/>
        <w:jc w:val="left"/>
      </w:pPr>
      <w:r>
        <w:rPr>
          <w:rFonts w:ascii="Arial" w:cs="Arial" w:eastAsia="Arial" w:hAnsi="Arial"/>
          <w:b w:val="false"/>
          <w:bCs w:val="false"/>
          <w:color w:val="000000"/>
          <w:sz w:val="22"/>
          <w:szCs w:val="22"/>
        </w:rPr>
        <w:t xml:space="preserve">Esta pestaña corresponde al análisis de nivel noche del Cap05. Tres gráficos de barras en paralelo muestran la distribución porcentual de ventanas en cada estado para las escalas S, M y L respectivamente, permitiendo comparar la arquitectura de estados en las tres resoluciones temporales en una única vista.</w:t>
      </w:r>
    </w:p>
    <w:p>
      <w:pPr>
        <w:spacing w:after="100" w:before="80"/>
        <w:jc w:val="left"/>
      </w:pPr>
      <w:r>
        <w:rPr>
          <w:rFonts w:ascii="Arial" w:cs="Arial" w:eastAsia="Arial" w:hAnsi="Arial"/>
          <w:b w:val="false"/>
          <w:bCs w:val="false"/>
          <w:color w:val="000000"/>
          <w:sz w:val="22"/>
          <w:szCs w:val="22"/>
        </w:rPr>
        <w:t xml:space="preserve">El gráfico central —la secuencia temporal de estados— muestra la evolución del estado activo a lo largo de la noche para la escala seleccionada en el panel lateral. El usuario puede alternar entre las escalas S (30 s), M (5 min) y L (30 min) sin abandonar la pestaña. La escala S permite visualizar la microdinámica del sistema; la escala M expone los patrones de regulación de mediana duración, que resultaron los predictores más robustos de la carga hipóxica (Cap05 §5.3); la escala L ofrece una lectura de la arquitectura global de la noche.</w:t>
      </w:r>
    </w:p>
    <w:p>
      <w:pPr>
        <w:spacing w:after="100" w:before="80"/>
        <w:jc w:val="left"/>
      </w:pPr>
      <w:r>
        <w:rPr>
          <w:rFonts w:ascii="Arial" w:cs="Arial" w:eastAsia="Arial" w:hAnsi="Arial"/>
          <w:b w:val="false"/>
          <w:bCs w:val="false"/>
          <w:color w:val="000000"/>
          <w:sz w:val="22"/>
          <w:szCs w:val="22"/>
        </w:rPr>
        <w:t xml:space="preserve">Una matriz de calor (</w:t>
      </w:r>
      <w:r>
        <w:rPr>
          <w:rFonts w:ascii="Arial" w:cs="Arial" w:eastAsia="Arial" w:hAnsi="Arial"/>
          <w:b w:val="false"/>
          <w:bCs w:val="false"/>
          <w:color w:val="000000"/>
          <w:sz w:val="22"/>
          <w:szCs w:val="22"/>
        </w:rPr>
        <w:t xml:space="preserve">heatmap</w:t>
      </w:r>
      <w:r>
        <w:rPr>
          <w:rFonts w:ascii="Arial" w:cs="Arial" w:eastAsia="Arial" w:hAnsi="Arial"/>
          <w:b w:val="false"/>
          <w:bCs w:val="false"/>
          <w:color w:val="000000"/>
          <w:sz w:val="22"/>
          <w:szCs w:val="22"/>
        </w:rPr>
        <w:t xml:space="preserve">) de transición normalizada permite identificar las transiciones más frecuentes entre estados —los atractores markovianos del sistema caracterizados en Cap06 §6.6 (S1, M0, L3). Un gráfico de barras final muestra la fracción de tiempo en cada estado, con los estados patológicos —aquellos cuya tasa de morfotipos C4+C5 supera la mediana del corpus (Cap06 §6.3)— destacados en rojo: S2, S4, S6 / M1, M3 / L0, L1.</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7.5 — Pestaña "Estados PAC" ]
(screenshot mostrando distribución S/M/L, secuencia temporal M-scale y heatmap de transición)</w:t>
            </w:r>
          </w:p>
        </w:tc>
      </w:tr>
    </w:tbl>
    <w:p>
      <w:pPr>
        <w:spacing w:after="180" w:before="60"/>
        <w:jc w:val="center"/>
      </w:pPr>
      <w:r>
        <w:rPr>
          <w:rFonts w:ascii="Arial" w:cs="Arial" w:eastAsia="Arial" w:hAnsi="Arial"/>
          <w:b w:val="false"/>
          <w:bCs w:val="false"/>
          <w:color w:val="6B7280"/>
          <w:sz w:val="19"/>
          <w:szCs w:val="19"/>
        </w:rPr>
        <w:t xml:space="preserve">Figura 7.5. Pestaña "Estados PAC". La distribución porcentual por escala (S/M/L), la secuencia temporal de estados y la matriz de transición normalizada exponen la dinámica multiescala de la fisiología nocturna del Cap05.</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7.4.4  Pestaña "Historia Nocturna"</w:t>
      </w:r>
    </w:p>
    <w:p>
      <w:pPr>
        <w:spacing w:after="100" w:before="80"/>
        <w:jc w:val="left"/>
      </w:pPr>
      <w:r>
        <w:rPr>
          <w:rFonts w:ascii="Arial" w:cs="Arial" w:eastAsia="Arial" w:hAnsi="Arial"/>
          <w:b w:val="false"/>
          <w:bCs w:val="false"/>
          <w:color w:val="000000"/>
          <w:sz w:val="22"/>
          <w:szCs w:val="22"/>
        </w:rPr>
        <w:t xml:space="preserve">La pestaña de historia nocturna busca integrar las tres capas analíticas —señal fisiológica, eventos y estados— en una única visualización temporal coherente. Cinco métricas de acoplamiento se despliegan en la parte superior: ci_s, ci_m, ci_l (los coupling indices a las tres escalas, definidos en Cap06 §6.4), entropía de los estados M y número de transiciones M en la noche.</w:t>
      </w:r>
    </w:p>
    <w:p>
      <w:pPr>
        <w:spacing w:after="100" w:before="80"/>
        <w:jc w:val="left"/>
      </w:pPr>
      <w:r>
        <w:rPr>
          <w:rFonts w:ascii="Arial" w:cs="Arial" w:eastAsia="Arial" w:hAnsi="Arial"/>
          <w:b w:val="false"/>
          <w:bCs w:val="false"/>
          <w:color w:val="000000"/>
          <w:sz w:val="22"/>
          <w:szCs w:val="22"/>
        </w:rPr>
        <w:t xml:space="preserve">El elemento central es una figura de tres subgráficos con eje horizontal compartido (hora de la noche). El subgráfico superior muestra la señal SpO₂ con marcadores de eventos severos (triángulos invertidos en el nadir) y la línea de referencia T90. El subgráfico central muestra la secuencia del estado M activo a lo largo de la noche, coloreando cada punto según el estado. El subgráfico inferior muestra las barras de P(severo) por evento. Esta disposición busca hacer evidente la co-ocurrencia entre estados M de alto riesgo y eventos de mayor severidad, relación cuantificada por el coupling index ci_m en Cap06.</w:t>
      </w:r>
    </w:p>
    <w:p>
      <w:pPr>
        <w:spacing w:after="100" w:before="80"/>
        <w:jc w:val="left"/>
      </w:pPr>
      <w:r>
        <w:rPr>
          <w:rFonts w:ascii="Arial" w:cs="Arial" w:eastAsia="Arial" w:hAnsi="Arial"/>
          <w:b w:val="false"/>
          <w:bCs w:val="false"/>
          <w:color w:val="000000"/>
          <w:sz w:val="22"/>
          <w:szCs w:val="22"/>
        </w:rPr>
        <w:t xml:space="preserve">Un gráfico combinado adicional superpone tres capas de información: (a) bandas de fondo coloreadas por estado M activo en cada ventana de 5 minutos; (b) la señal SpO₂ en primer plano; (c) los EDOs individuales como regiones sombreadas coloreadas por morfotipo, con marcadores para los eventos severos C4+C5. Esta representación —la más informativamente densa de la interfaz— busca sintetizar en un único plano temporal los hallazgos del proyecto: los estados fisiológicos de contexto, la señal continua de SpO₂, y los episodios de desaturación clasificados.</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7.6 — Pestaña "Historia Nocturna" ]
(screenshot mostrando los tres subgráficos SpO₂/Estado-M/P(severo) y el gráfico combinado)</w:t>
            </w:r>
          </w:p>
        </w:tc>
      </w:tr>
    </w:tbl>
    <w:p>
      <w:pPr>
        <w:spacing w:after="180" w:before="60"/>
        <w:jc w:val="center"/>
      </w:pPr>
      <w:r>
        <w:rPr>
          <w:rFonts w:ascii="Arial" w:cs="Arial" w:eastAsia="Arial" w:hAnsi="Arial"/>
          <w:b w:val="false"/>
          <w:bCs w:val="false"/>
          <w:color w:val="6B7280"/>
          <w:sz w:val="19"/>
          <w:szCs w:val="19"/>
        </w:rPr>
        <w:t xml:space="preserve">Figura 7.6. Pestaña "Historia Nocturna". Los tres subgráficos con eje temporal compartido (SpO₂, estado M, P(severo)) y el gráfico combinado con bandas de estados M, señal SpO₂ y EDOs coloreados por morfotipo integran las tres capas analíticas del proyecto en una única visualización.</w:t>
      </w:r>
    </w:p>
    <w:p>
      <w:pPr>
        <w:spacing w:after="60" w:before="0"/>
        <w:jc w:val="left"/>
      </w:pPr>
      <w:r>
        <w:rPr>
          <w:rFonts w:ascii="Arial" w:cs="Arial" w:eastAsia="Arial" w:hAnsi="Arial"/>
          <w:b w:val="false"/>
          <w:bCs w:val="false"/>
          <w:color w:val="000000"/>
          <w:sz w:val="22"/>
          <w:szCs w:val="22"/>
        </w:rPr>
        <w:t xml:space="preserve"/>
      </w:r>
    </w:p>
    <w:p>
      <w:pPr>
        <w:spacing w:after="120" w:before="280"/>
        <w:jc w:val="left"/>
      </w:pPr>
      <w:r>
        <w:rPr>
          <w:rFonts w:ascii="Arial" w:cs="Arial" w:eastAsia="Arial" w:hAnsi="Arial"/>
          <w:b/>
          <w:bCs/>
          <w:color w:val="1E3A5F"/>
          <w:sz w:val="26"/>
          <w:szCs w:val="26"/>
        </w:rPr>
        <w:t xml:space="preserve">7.4.5  Pestaña "Informe IA"</w:t>
      </w:r>
    </w:p>
    <w:p>
      <w:pPr>
        <w:spacing w:after="100" w:before="80"/>
        <w:jc w:val="left"/>
      </w:pPr>
      <w:r>
        <w:rPr>
          <w:rFonts w:ascii="Arial" w:cs="Arial" w:eastAsia="Arial" w:hAnsi="Arial"/>
          <w:b w:val="false"/>
          <w:bCs w:val="false"/>
          <w:color w:val="000000"/>
          <w:sz w:val="22"/>
          <w:szCs w:val="22"/>
        </w:rPr>
        <w:t xml:space="preserve">La última pestaña expone el módulo de generación de informes clínicos mediante inteligencia artificial generativa. El usuario selecciona entre dos </w:t>
      </w:r>
      <w:r>
        <w:rPr>
          <w:rFonts w:ascii="Arial" w:cs="Arial" w:eastAsia="Arial" w:hAnsi="Arial"/>
          <w:b w:val="false"/>
          <w:bCs w:val="false"/>
          <w:color w:val="000000"/>
          <w:sz w:val="22"/>
          <w:szCs w:val="22"/>
        </w:rPr>
        <w:t xml:space="preserve">backends</w:t>
      </w:r>
      <w:r>
        <w:rPr>
          <w:rFonts w:ascii="Arial" w:cs="Arial" w:eastAsia="Arial" w:hAnsi="Arial"/>
          <w:b w:val="false"/>
          <w:bCs w:val="false"/>
          <w:color w:val="000000"/>
          <w:sz w:val="22"/>
          <w:szCs w:val="22"/>
        </w:rPr>
        <w:t xml:space="preserve">: </w:t>
      </w:r>
      <w:r>
        <w:rPr>
          <w:rFonts w:ascii="Arial" w:cs="Arial" w:eastAsia="Arial" w:hAnsi="Arial"/>
          <w:b w:val="false"/>
          <w:bCs w:val="false"/>
          <w:color w:val="000000"/>
          <w:sz w:val="22"/>
          <w:szCs w:val="22"/>
        </w:rPr>
        <w:t xml:space="preserve">LM Studio</w:t>
      </w:r>
      <w:r>
        <w:rPr>
          <w:rFonts w:ascii="Arial" w:cs="Arial" w:eastAsia="Arial" w:hAnsi="Arial"/>
          <w:b w:val="false"/>
          <w:bCs w:val="false"/>
          <w:color w:val="000000"/>
          <w:sz w:val="22"/>
          <w:szCs w:val="22"/>
        </w:rPr>
        <w:t xml:space="preserve">, que permite ejecutar un modelo de lenguaje localmente mediante una API compatible con el estándar OpenAI, y la API de Claude de Anthropic (Anthropic, 2024). La opción local busca preservar la privacidad de los datos clínicos del paciente, mientras que la API de Claude busca ofrecer mayor calidad en la generación narrativa. Se puede seleccionar entre distintos modelos de Claude (Sonnet, Haiku) según la preferencia de costo y latencia.</w:t>
      </w:r>
    </w:p>
    <w:p>
      <w:pPr>
        <w:spacing w:after="100" w:before="80"/>
        <w:jc w:val="left"/>
      </w:pPr>
      <w:r>
        <w:rPr>
          <w:rFonts w:ascii="Arial" w:cs="Arial" w:eastAsia="Arial" w:hAnsi="Arial"/>
          <w:b w:val="false"/>
          <w:bCs w:val="false"/>
          <w:color w:val="000000"/>
          <w:sz w:val="22"/>
          <w:szCs w:val="22"/>
        </w:rPr>
        <w:t xml:space="preserve">El prompt enviado al modelo incluye los datos estructurados de la noche: identificación del examen, Risk Score y su categoría, ODI estimado, distribución de morfotipos C1–C5, estadísticas de SpO₂ (media, mínimo, T90), distribución de estados M, índices de acoplamiento, trayectoria nocturna, número de transiciones M y entropía, y el contexto del modelo entrenado (AUC, cohorte). Un campo de texto libre permite al usuario agregar instrucciones adicionales al modelo (tono, énfasis en determinadas secciones, nivel de tecnicismo).</w:t>
      </w:r>
    </w:p>
    <w:p>
      <w:pPr>
        <w:spacing w:after="100" w:before="80"/>
        <w:jc w:val="left"/>
      </w:pPr>
      <w:r>
        <w:rPr>
          <w:rFonts w:ascii="Arial" w:cs="Arial" w:eastAsia="Arial" w:hAnsi="Arial"/>
          <w:b w:val="false"/>
          <w:bCs w:val="false"/>
          <w:color w:val="000000"/>
          <w:sz w:val="22"/>
          <w:szCs w:val="22"/>
        </w:rPr>
        <w:t xml:space="preserve">El modelo es instruido para generar un informe en dos secciones claramente diferenciadas:</w:t>
      </w:r>
    </w:p>
    <w:p>
      <w:pPr>
        <w:pStyle w:val="ListParagraph"/>
        <w:numPr>
          <w:ilvl w:val="0"/>
          <w:numId w:val="3"/>
        </w:numPr>
        <w:spacing w:after="60" w:before="60"/>
      </w:pPr>
      <w:r>
        <w:rPr>
          <w:rFonts w:ascii="Arial" w:cs="Arial" w:eastAsia="Arial" w:hAnsi="Arial"/>
          <w:b w:val="false"/>
          <w:bCs w:val="false"/>
          <w:color w:val="000000"/>
          <w:sz w:val="22"/>
          <w:szCs w:val="22"/>
        </w:rPr>
        <w:t xml:space="preserve">Sección 1 — Informe médico-técnico: dirigida al especialista. Incluye interpretación de la carga de EDOs, análisis de los estados PAC y su significado fisiopatológico, coupling indices, conclusión clínica y recomendaciones de seguimiento.</w:t>
      </w:r>
    </w:p>
    <w:p>
      <w:pPr>
        <w:pStyle w:val="ListParagraph"/>
        <w:numPr>
          <w:ilvl w:val="0"/>
          <w:numId w:val="3"/>
        </w:numPr>
        <w:spacing w:after="60" w:before="60"/>
      </w:pPr>
      <w:r>
        <w:rPr>
          <w:rFonts w:ascii="Arial" w:cs="Arial" w:eastAsia="Arial" w:hAnsi="Arial"/>
          <w:b w:val="false"/>
          <w:bCs w:val="false"/>
          <w:color w:val="000000"/>
          <w:sz w:val="22"/>
          <w:szCs w:val="22"/>
        </w:rPr>
        <w:t xml:space="preserve">Sección 2 — Resumen para el paciente: en lenguaje accesible y sin jerga técnica. Explica qué ocurrió durante la noche de sueño, qué tan graves fueron los episodios de desaturación, qué significa el puntaje de riesgo y cuáles serían los próximos pasos recomendados.</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El informe generado se despliega en la interfaz con renderizado Markdown y puede descargarse como archivo Word (.docx) con el nombre del examen y la fecha.</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4"/>
              <w:left w:val="single" w:color="D0D8E4" w:sz="4"/>
              <w:bottom w:val="single" w:color="D0D8E4" w:sz="4"/>
              <w:right w:val="single" w:color="D0D8E4" w:sz="4"/>
            </w:tcBorders>
            <w:shd w:fill="EEF3F8" w:val="clear"/>
            <w:tcMar>
              <w:top w:type="dxa" w:w="280"/>
              <w:left w:type="dxa" w:w="200"/>
              <w:bottom w:type="dxa" w:w="280"/>
              <w:right w:type="dxa" w:w="200"/>
            </w:tcMar>
          </w:tcPr>
          <w:p>
            <w:pPr>
              <w:spacing w:after="0" w:before="0"/>
              <w:jc w:val="center"/>
            </w:pPr>
            <w:r>
              <w:rPr>
                <w:rFonts w:ascii="Arial" w:cs="Arial" w:eastAsia="Arial" w:hAnsi="Arial"/>
                <w:b w:val="false"/>
                <w:bCs w:val="false"/>
                <w:color w:val="6B7280"/>
                <w:sz w:val="19"/>
                <w:szCs w:val="19"/>
              </w:rPr>
              <w:t xml:space="preserve">[ Figura 7.7 — Pestaña "Informe IA" ]
(screenshot mostrando selector de backend, parámetros de configuración y ejemplo de informe generado)</w:t>
            </w:r>
          </w:p>
        </w:tc>
      </w:tr>
    </w:tbl>
    <w:p>
      <w:pPr>
        <w:spacing w:after="180" w:before="60"/>
        <w:jc w:val="center"/>
      </w:pPr>
      <w:r>
        <w:rPr>
          <w:rFonts w:ascii="Arial" w:cs="Arial" w:eastAsia="Arial" w:hAnsi="Arial"/>
          <w:b w:val="false"/>
          <w:bCs w:val="false"/>
          <w:color w:val="6B7280"/>
          <w:sz w:val="19"/>
          <w:szCs w:val="19"/>
        </w:rPr>
        <w:t xml:space="preserve">Figura 7.7. Pestaña "Informe IA". El selector de backend (LM Studio local vs. Claude API), el campo de instrucciones adicionales, y el botón de generación. El informe producido se despliega en dos secciones (médico-técnico y resumen para el paciente) y puede descargarse en formato Word.</w:t>
      </w:r>
    </w:p>
    <w:p>
      <w:pPr>
        <w:spacing w:after="60" w:before="0"/>
        <w:jc w:val="left"/>
      </w:pPr>
      <w:r>
        <w:rPr>
          <w:rFonts w:ascii="Arial" w:cs="Arial" w:eastAsia="Arial" w:hAnsi="Arial"/>
          <w:b w:val="false"/>
          <w:bCs w:val="false"/>
          <w:color w:val="000000"/>
          <w:sz w:val="22"/>
          <w:szCs w:val="22"/>
        </w:rPr>
        <w:t xml:space="preserve"/>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7.5  Módulo de Informe IA: diseño del prompt y consideraciones éticas</w:t>
      </w:r>
    </w:p>
    <w:p>
      <w:pPr>
        <w:spacing w:after="120" w:before="280"/>
        <w:jc w:val="left"/>
      </w:pPr>
      <w:r>
        <w:rPr>
          <w:rFonts w:ascii="Arial" w:cs="Arial" w:eastAsia="Arial" w:hAnsi="Arial"/>
          <w:b/>
          <w:bCs/>
          <w:color w:val="1E3A5F"/>
          <w:sz w:val="26"/>
          <w:szCs w:val="26"/>
        </w:rPr>
        <w:t xml:space="preserve">7.5.1  Diseño del prompt</w:t>
      </w:r>
    </w:p>
    <w:p>
      <w:pPr>
        <w:spacing w:after="100" w:before="80"/>
        <w:jc w:val="left"/>
      </w:pPr>
      <w:r>
        <w:rPr>
          <w:rFonts w:ascii="Arial" w:cs="Arial" w:eastAsia="Arial" w:hAnsi="Arial"/>
          <w:b w:val="false"/>
          <w:bCs w:val="false"/>
          <w:color w:val="000000"/>
          <w:sz w:val="22"/>
          <w:szCs w:val="22"/>
        </w:rPr>
        <w:t xml:space="preserve">El diseño del prompt que estructura la generación del informe responde a principios de ingeniería de prompts establecidos para modelos de lenguaje de gran escala (Brown et al., 2020). El prompt incluye: (a) un contexto de rol explícito ("Sos un asistente médico especializado en medicina del sueño y análisis de oximetría nocturna"); (b) los datos numéricos de la noche en formato estructurado; (c) una instrucción de formato precisa (dos secciones diferenciadas con audiencias específicas); y (d) directivas de estilo —síntesis al final de cada subsección en negrita— que buscan facilitar la lectura clínica rápida.</w:t>
      </w:r>
    </w:p>
    <w:p>
      <w:pPr>
        <w:spacing w:after="100" w:before="80"/>
        <w:jc w:val="left"/>
      </w:pPr>
      <w:r>
        <w:rPr>
          <w:rFonts w:ascii="Arial" w:cs="Arial" w:eastAsia="Arial" w:hAnsi="Arial"/>
          <w:b w:val="false"/>
          <w:bCs w:val="false"/>
          <w:color w:val="000000"/>
          <w:sz w:val="22"/>
          <w:szCs w:val="22"/>
        </w:rPr>
        <w:t xml:space="preserve">El prompt no instruye al modelo a generar diagnósticos. Solicita una "interpretación" y "recomendaciones de seguimiento", reconociendo explícitamente que los datos provienen de un dispositivo de monitoreo domiciliario y que la interpretación clínica definitiva corresponde al especialista. Esta distinción entre asistencia interpretativa y diagnóstico clínico es deliberada.</w:t>
      </w:r>
    </w:p>
    <w:p>
      <w:pPr>
        <w:spacing w:after="120" w:before="280"/>
        <w:jc w:val="left"/>
      </w:pPr>
      <w:r>
        <w:rPr>
          <w:rFonts w:ascii="Arial" w:cs="Arial" w:eastAsia="Arial" w:hAnsi="Arial"/>
          <w:b/>
          <w:bCs/>
          <w:color w:val="1E3A5F"/>
          <w:sz w:val="26"/>
          <w:szCs w:val="26"/>
        </w:rPr>
        <w:t xml:space="preserve">7.5.2  Consideraciones éticas</w:t>
      </w:r>
    </w:p>
    <w:p>
      <w:pPr>
        <w:spacing w:after="100" w:before="80"/>
        <w:jc w:val="left"/>
      </w:pPr>
      <w:r>
        <w:rPr>
          <w:rFonts w:ascii="Arial" w:cs="Arial" w:eastAsia="Arial" w:hAnsi="Arial"/>
          <w:b w:val="false"/>
          <w:bCs w:val="false"/>
          <w:color w:val="000000"/>
          <w:sz w:val="22"/>
          <w:szCs w:val="22"/>
        </w:rPr>
        <w:t xml:space="preserve">El módulo de informe clínico generado por IA plantea tres consideraciones éticas que merecen explicitarse.</w:t>
      </w:r>
    </w:p>
    <w:p>
      <w:pPr>
        <w:spacing w:after="100" w:before="80"/>
        <w:jc w:val="left"/>
      </w:pPr>
      <w:r>
        <w:rPr>
          <w:rFonts w:ascii="Arial" w:cs="Arial" w:eastAsia="Arial" w:hAnsi="Arial"/>
          <w:b w:val="false"/>
          <w:bCs w:val="false"/>
          <w:color w:val="000000"/>
          <w:sz w:val="22"/>
          <w:szCs w:val="22"/>
        </w:rPr>
        <w:t xml:space="preserve">En primer lugar, el informe es una </w:t>
      </w:r>
      <w:r>
        <w:rPr>
          <w:rFonts w:ascii="Arial" w:cs="Arial" w:eastAsia="Arial" w:hAnsi="Arial"/>
          <w:b/>
          <w:bCs/>
          <w:color w:val="000000"/>
          <w:sz w:val="22"/>
          <w:szCs w:val="22"/>
        </w:rPr>
        <w:t xml:space="preserve">ayuda interpretativa</w:t>
      </w:r>
      <w:r>
        <w:rPr>
          <w:rFonts w:ascii="Arial" w:cs="Arial" w:eastAsia="Arial" w:hAnsi="Arial"/>
          <w:b w:val="false"/>
          <w:bCs w:val="false"/>
          <w:color w:val="000000"/>
          <w:sz w:val="22"/>
          <w:szCs w:val="22"/>
        </w:rPr>
        <w:t xml:space="preserve">, no un diagnóstico clínico. El texto generado por el modelo de lenguaje sintetiza los datos numéricos de la noche en lenguaje natural, pero no substituye el juicio del especialista en medicina del sueño ni constituye un diagnóstico formal de SAOS. Esta distinción busca ser explícita en el diseño del módulo: el informe se denomina "ayuda diagnóstica" y el prompt incluye el contexto del modelo entrenado (cohorte, AUC, limitaciones) para que el modelo de lenguaje pueda reflejar esas limitaciones en su texto.</w:t>
      </w:r>
    </w:p>
    <w:p>
      <w:pPr>
        <w:spacing w:after="100" w:before="80"/>
        <w:jc w:val="left"/>
      </w:pPr>
      <w:r>
        <w:rPr>
          <w:rFonts w:ascii="Arial" w:cs="Arial" w:eastAsia="Arial" w:hAnsi="Arial"/>
          <w:b w:val="false"/>
          <w:bCs w:val="false"/>
          <w:color w:val="000000"/>
          <w:sz w:val="22"/>
          <w:szCs w:val="22"/>
        </w:rPr>
        <w:t xml:space="preserve">En segundo lugar, la opción de backend local (LM Studio) busca responder a las obligaciones de privacidad de datos clínicos: al ejecutarse el modelo de lenguaje en la infraestructura del propio centro médico, los datos del paciente no salen del perímetro institucional. La opción de API en la nube (Claude API) requiere que el operador evalúe la compatibilidad con las normativas de privacidad aplicables a datos de salud en su jurisdicción.</w:t>
      </w:r>
    </w:p>
    <w:p>
      <w:pPr>
        <w:spacing w:after="100" w:before="80"/>
        <w:jc w:val="left"/>
      </w:pPr>
      <w:r>
        <w:rPr>
          <w:rFonts w:ascii="Arial" w:cs="Arial" w:eastAsia="Arial" w:hAnsi="Arial"/>
          <w:b w:val="false"/>
          <w:bCs w:val="false"/>
          <w:color w:val="000000"/>
          <w:sz w:val="22"/>
          <w:szCs w:val="22"/>
        </w:rPr>
        <w:t xml:space="preserve">En tercer lugar, el modelo de lenguaje utilizado no fue ajustado (</w:t>
      </w:r>
      <w:r>
        <w:rPr>
          <w:rFonts w:ascii="Arial" w:cs="Arial" w:eastAsia="Arial" w:hAnsi="Arial"/>
          <w:b w:val="false"/>
          <w:bCs w:val="false"/>
          <w:color w:val="000000"/>
          <w:sz w:val="22"/>
          <w:szCs w:val="22"/>
        </w:rPr>
        <w:t xml:space="preserve">fine-tuned</w:t>
      </w:r>
      <w:r>
        <w:rPr>
          <w:rFonts w:ascii="Arial" w:cs="Arial" w:eastAsia="Arial" w:hAnsi="Arial"/>
          <w:b w:val="false"/>
          <w:bCs w:val="false"/>
          <w:color w:val="000000"/>
          <w:sz w:val="22"/>
          <w:szCs w:val="22"/>
        </w:rPr>
        <w:t xml:space="preserve">) sobre literatura de medicina del sueño ni sobre la terminología PAC: el prompt provee el contexto necesario en cada inferencia (</w:t>
      </w:r>
      <w:r>
        <w:rPr>
          <w:rFonts w:ascii="Arial" w:cs="Arial" w:eastAsia="Arial" w:hAnsi="Arial"/>
          <w:b w:val="false"/>
          <w:bCs w:val="false"/>
          <w:color w:val="000000"/>
          <w:sz w:val="22"/>
          <w:szCs w:val="22"/>
        </w:rPr>
        <w:t xml:space="preserve">in-context learning</w:t>
      </w:r>
      <w:r>
        <w:rPr>
          <w:rFonts w:ascii="Arial" w:cs="Arial" w:eastAsia="Arial" w:hAnsi="Arial"/>
          <w:b w:val="false"/>
          <w:bCs w:val="false"/>
          <w:color w:val="000000"/>
          <w:sz w:val="22"/>
          <w:szCs w:val="22"/>
        </w:rPr>
        <w:t xml:space="preserve">), pero la calidad del informe depende de la capacidad de generalización del modelo base. Los informes generados buscan ser revisados por el especialista antes de su incorporación a la historia clínica del paciente.</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7.6  Limitaciones y trabajo futuro</w:t>
      </w:r>
    </w:p>
    <w:p>
      <w:pPr>
        <w:spacing w:after="100" w:before="80"/>
        <w:jc w:val="left"/>
      </w:pPr>
      <w:r>
        <w:rPr>
          <w:rFonts w:ascii="Arial" w:cs="Arial" w:eastAsia="Arial" w:hAnsi="Arial"/>
          <w:b w:val="false"/>
          <w:bCs w:val="false"/>
          <w:color w:val="000000"/>
          <w:sz w:val="22"/>
          <w:szCs w:val="22"/>
        </w:rPr>
        <w:t xml:space="preserve">La PAC App constituye un prototipo funcional que busca demostrar la viabilidad de la interfaz clínica; no una aplicación lista para uso en producción. Sus limitaciones actuales se agrupan en cuatro dimensiones.</w:t>
      </w:r>
    </w:p>
    <w:p>
      <w:pPr>
        <w:spacing w:after="120" w:before="280"/>
        <w:jc w:val="left"/>
      </w:pPr>
      <w:r>
        <w:rPr>
          <w:rFonts w:ascii="Arial" w:cs="Arial" w:eastAsia="Arial" w:hAnsi="Arial"/>
          <w:b/>
          <w:bCs/>
          <w:color w:val="1E3A5F"/>
          <w:sz w:val="26"/>
          <w:szCs w:val="26"/>
        </w:rPr>
        <w:t xml:space="preserve">7.6.1  Limitaciones de los modelos subyacentes</w:t>
      </w:r>
    </w:p>
    <w:p>
      <w:pPr>
        <w:spacing w:after="100" w:before="80"/>
        <w:jc w:val="left"/>
      </w:pPr>
      <w:r>
        <w:rPr>
          <w:rFonts w:ascii="Arial" w:cs="Arial" w:eastAsia="Arial" w:hAnsi="Arial"/>
          <w:b w:val="false"/>
          <w:bCs w:val="false"/>
          <w:color w:val="000000"/>
          <w:sz w:val="22"/>
          <w:szCs w:val="22"/>
        </w:rPr>
        <w:t xml:space="preserve">Los modelos de predicción fueron entrenados sobre n=8 pacientes (cohorte estricta, LOPO-CV). El Risk Score y las probabilidades de evento se calibraron sobre esa cohorte; su comportamiento en poblaciones distintas —especialmente en pacientes con SAOS leve o con perfiles de comorbilidad distintos— podría diferir del observado en validación. Esta limitación es inherente al tamaño de la cohorte piloto, no al diseño de la aplicación, y se discute extensamente en Cap06 §6.14.</w:t>
      </w:r>
    </w:p>
    <w:p>
      <w:pPr>
        <w:spacing w:after="120" w:before="280"/>
        <w:jc w:val="left"/>
      </w:pPr>
      <w:r>
        <w:rPr>
          <w:rFonts w:ascii="Arial" w:cs="Arial" w:eastAsia="Arial" w:hAnsi="Arial"/>
          <w:b/>
          <w:bCs/>
          <w:color w:val="1E3A5F"/>
          <w:sz w:val="26"/>
          <w:szCs w:val="26"/>
        </w:rPr>
        <w:t xml:space="preserve">7.6.2  Portabilidad del formato de entrada</w:t>
      </w:r>
    </w:p>
    <w:p>
      <w:pPr>
        <w:spacing w:after="100" w:before="80"/>
        <w:jc w:val="left"/>
      </w:pPr>
      <w:r>
        <w:rPr>
          <w:rFonts w:ascii="Arial" w:cs="Arial" w:eastAsia="Arial" w:hAnsi="Arial"/>
          <w:b w:val="false"/>
          <w:bCs w:val="false"/>
          <w:color w:val="000000"/>
          <w:sz w:val="22"/>
          <w:szCs w:val="22"/>
        </w:rPr>
        <w:t xml:space="preserve">El pipeline de ingesta fue diseñado para el formato Excel de tres bloques generado específicamente por el SOMNI 6000 (versión de firmware utilizada en el protocolo CLP-275001 v1.2). Cualquier cambio en el formato de exportación del dispositivo —por actualización de firmware o por el uso de un modelo alternativo— requeriría adaptar el módulo de ingesta y potencialmente re-entrenar los modelos morfológicos y de estados sobre la nueva fuente de señal.</w:t>
      </w:r>
    </w:p>
    <w:p>
      <w:pPr>
        <w:spacing w:after="120" w:before="280"/>
        <w:jc w:val="left"/>
      </w:pPr>
      <w:r>
        <w:rPr>
          <w:rFonts w:ascii="Arial" w:cs="Arial" w:eastAsia="Arial" w:hAnsi="Arial"/>
          <w:b/>
          <w:bCs/>
          <w:color w:val="1E3A5F"/>
          <w:sz w:val="26"/>
          <w:szCs w:val="26"/>
        </w:rPr>
        <w:t xml:space="preserve">7.6.3  Ausencia de validación prospectiva clínica</w:t>
      </w:r>
    </w:p>
    <w:p>
      <w:pPr>
        <w:spacing w:after="100" w:before="80"/>
        <w:jc w:val="left"/>
      </w:pPr>
      <w:r>
        <w:rPr>
          <w:rFonts w:ascii="Arial" w:cs="Arial" w:eastAsia="Arial" w:hAnsi="Arial"/>
          <w:b w:val="false"/>
          <w:bCs w:val="false"/>
          <w:color w:val="000000"/>
          <w:sz w:val="22"/>
          <w:szCs w:val="22"/>
        </w:rPr>
        <w:t xml:space="preserve">La app no ha sido evaluada en un entorno clínico real. La validación prospectiva —que requeriría definir métricas de utilidad clínica (tiempo de interpretación, concordancia con PSG, impacto en decisiones terapéuticas), un protocolo de uso y una cohorte de validación independiente— queda como trabajo futuro prioritario. En su estado actual, la aplicación es apropiada para uso en investigación y prototipado clínico.</w:t>
      </w:r>
    </w:p>
    <w:p>
      <w:pPr>
        <w:spacing w:after="120" w:before="280"/>
        <w:jc w:val="left"/>
      </w:pPr>
      <w:r>
        <w:rPr>
          <w:rFonts w:ascii="Arial" w:cs="Arial" w:eastAsia="Arial" w:hAnsi="Arial"/>
          <w:b/>
          <w:bCs/>
          <w:color w:val="1E3A5F"/>
          <w:sz w:val="26"/>
          <w:szCs w:val="26"/>
        </w:rPr>
        <w:t xml:space="preserve">7.6.4  Mejoras de interfaz e integración</w:t>
      </w:r>
    </w:p>
    <w:p>
      <w:pPr>
        <w:spacing w:after="100" w:before="80"/>
        <w:jc w:val="left"/>
      </w:pPr>
      <w:r>
        <w:rPr>
          <w:rFonts w:ascii="Arial" w:cs="Arial" w:eastAsia="Arial" w:hAnsi="Arial"/>
          <w:b w:val="false"/>
          <w:bCs w:val="false"/>
          <w:color w:val="000000"/>
          <w:sz w:val="22"/>
          <w:szCs w:val="22"/>
        </w:rPr>
        <w:t xml:space="preserve">La versión actual es un prototipo funcional orientado a la exploración analítica. Una versión clínica requeriría, entre otras mejoras:</w:t>
      </w:r>
    </w:p>
    <w:p>
      <w:pPr>
        <w:pStyle w:val="ListParagraph"/>
        <w:numPr>
          <w:ilvl w:val="0"/>
          <w:numId w:val="3"/>
        </w:numPr>
        <w:spacing w:after="60" w:before="60"/>
      </w:pPr>
      <w:r>
        <w:rPr>
          <w:rFonts w:ascii="Arial" w:cs="Arial" w:eastAsia="Arial" w:hAnsi="Arial"/>
          <w:b w:val="false"/>
          <w:bCs w:val="false"/>
          <w:color w:val="000000"/>
          <w:sz w:val="22"/>
          <w:szCs w:val="22"/>
        </w:rPr>
        <w:t xml:space="preserve">Diseño de interfaz profesional conforme a estándares de usabilidad médica (ISO 62366, IEC 60601-1-6).</w:t>
      </w:r>
    </w:p>
    <w:p>
      <w:pPr>
        <w:pStyle w:val="ListParagraph"/>
        <w:numPr>
          <w:ilvl w:val="0"/>
          <w:numId w:val="3"/>
        </w:numPr>
        <w:spacing w:after="60" w:before="60"/>
      </w:pPr>
      <w:r>
        <w:rPr>
          <w:rFonts w:ascii="Arial" w:cs="Arial" w:eastAsia="Arial" w:hAnsi="Arial"/>
          <w:b w:val="false"/>
          <w:bCs w:val="false"/>
          <w:color w:val="000000"/>
          <w:sz w:val="22"/>
          <w:szCs w:val="22"/>
        </w:rPr>
        <w:t xml:space="preserve">Manejo robusto de errores y archivos malformados, con mensajes de error informativos para el usuario no técnico.</w:t>
      </w:r>
    </w:p>
    <w:p>
      <w:pPr>
        <w:pStyle w:val="ListParagraph"/>
        <w:numPr>
          <w:ilvl w:val="0"/>
          <w:numId w:val="3"/>
        </w:numPr>
        <w:spacing w:after="60" w:before="60"/>
      </w:pPr>
      <w:r>
        <w:rPr>
          <w:rFonts w:ascii="Arial" w:cs="Arial" w:eastAsia="Arial" w:hAnsi="Arial"/>
          <w:b w:val="false"/>
          <w:bCs w:val="false"/>
          <w:color w:val="000000"/>
          <w:sz w:val="22"/>
          <w:szCs w:val="22"/>
        </w:rPr>
        <w:t xml:space="preserve">Persistencia de historial longitudinal por paciente: análisis de tendencias multi-noche, comparación de Risk Score entre visitas, evolución de la trayectoria nocturna.</w:t>
      </w:r>
    </w:p>
    <w:p>
      <w:pPr>
        <w:pStyle w:val="ListParagraph"/>
        <w:numPr>
          <w:ilvl w:val="0"/>
          <w:numId w:val="3"/>
        </w:numPr>
        <w:spacing w:after="60" w:before="60"/>
      </w:pPr>
      <w:r>
        <w:rPr>
          <w:rFonts w:ascii="Arial" w:cs="Arial" w:eastAsia="Arial" w:hAnsi="Arial"/>
          <w:b w:val="false"/>
          <w:bCs w:val="false"/>
          <w:color w:val="000000"/>
          <w:sz w:val="22"/>
          <w:szCs w:val="22"/>
        </w:rPr>
        <w:t xml:space="preserve">Integración con sistemas de historia clínica electrónica (HIS/EMR) mediante interfaces estándar (HL7 FHIR).</w:t>
      </w:r>
    </w:p>
    <w:p>
      <w:pPr>
        <w:spacing w:after="60" w:before="0"/>
        <w:jc w:val="left"/>
      </w:pPr>
      <w:r>
        <w:rPr>
          <w:rFonts w:ascii="Arial" w:cs="Arial" w:eastAsia="Arial" w:hAnsi="Arial"/>
          <w:b w:val="false"/>
          <w:bCs w:val="false"/>
          <w:color w:val="000000"/>
          <w:sz w:val="22"/>
          <w:szCs w:val="22"/>
        </w:rPr>
        <w:t xml:space="preserve"/>
      </w:r>
    </w:p>
    <w:p>
      <w:pPr>
        <w:spacing w:after="100" w:before="80"/>
        <w:jc w:val="left"/>
      </w:pPr>
      <w:r>
        <w:rPr>
          <w:rFonts w:ascii="Arial" w:cs="Arial" w:eastAsia="Arial" w:hAnsi="Arial"/>
          <w:b w:val="false"/>
          <w:bCs w:val="false"/>
          <w:color w:val="000000"/>
          <w:sz w:val="22"/>
          <w:szCs w:val="22"/>
        </w:rPr>
        <w:t xml:space="preserve">Finalmente, la capacidad de predicción prospectiva —anticipar eventos severos con horizonte temporal clínico— no está integrada en la versión actual de la app. El Risk Score que calcula la app se basa en la noche ya registrada: es una evaluación retrospectiva de la carga hipóxica nocturna. El módulo NB08, desarrollado en el Cap08, aborda específicamente esta limitación.</w:t>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7.7  Conclusiones y bridge al Capítulo 8</w:t>
      </w:r>
    </w:p>
    <w:p>
      <w:pPr>
        <w:spacing w:after="100" w:before="80"/>
        <w:jc w:val="left"/>
      </w:pPr>
      <w:r>
        <w:rPr>
          <w:rFonts w:ascii="Arial" w:cs="Arial" w:eastAsia="Arial" w:hAnsi="Arial"/>
          <w:b w:val="false"/>
          <w:bCs w:val="false"/>
          <w:color w:val="000000"/>
          <w:sz w:val="22"/>
          <w:szCs w:val="22"/>
        </w:rPr>
        <w:t xml:space="preserve">La PAC App busca constituir la primera prueba de concepto de que las representaciones desarrolladas en los Cap04–06 pueden operar fuera del entorno de investigación y producir valor interpretativo en un flujo clínico individual. Tres aspectos del diseño merecen destacarse.</w:t>
      </w:r>
    </w:p>
    <w:p>
      <w:pPr>
        <w:spacing w:after="100" w:before="80"/>
        <w:jc w:val="left"/>
      </w:pPr>
      <w:r>
        <w:rPr>
          <w:rFonts w:ascii="Arial" w:cs="Arial" w:eastAsia="Arial" w:hAnsi="Arial"/>
          <w:b w:val="false"/>
          <w:bCs w:val="false"/>
          <w:color w:val="000000"/>
          <w:sz w:val="22"/>
          <w:szCs w:val="22"/>
        </w:rPr>
        <w:t xml:space="preserve">Primero, la arquitectura de módulos compartidos entre el pipeline de investigación y la aplicación —ambos consumen los mismos módulos de </w:t>
      </w:r>
      <w:r>
        <w:rPr>
          <w:rFonts w:ascii="Arial" w:cs="Arial" w:eastAsia="Arial" w:hAnsi="Arial"/>
          <w:b w:val="false"/>
          <w:bCs w:val="false"/>
          <w:color w:val="000000"/>
          <w:sz w:val="22"/>
          <w:szCs w:val="22"/>
        </w:rPr>
        <w:t xml:space="preserve">src/pac/</w:t>
      </w:r>
      <w:r>
        <w:rPr>
          <w:rFonts w:ascii="Arial" w:cs="Arial" w:eastAsia="Arial" w:hAnsi="Arial"/>
          <w:b w:val="false"/>
          <w:bCs w:val="false"/>
          <w:color w:val="000000"/>
          <w:sz w:val="22"/>
          <w:szCs w:val="22"/>
        </w:rPr>
        <w:t xml:space="preserve"> y los mismos artefactos de modelos— garantiza que los resultados de la app sean consistentes con los resultados publicados en los capítulos de análisis. No existe una implementación paralela de los algoritmos: la app es el pipeline.</w:t>
      </w:r>
    </w:p>
    <w:p>
      <w:pPr>
        <w:spacing w:after="100" w:before="80"/>
        <w:jc w:val="left"/>
      </w:pPr>
      <w:r>
        <w:rPr>
          <w:rFonts w:ascii="Arial" w:cs="Arial" w:eastAsia="Arial" w:hAnsi="Arial"/>
          <w:b w:val="false"/>
          <w:bCs w:val="false"/>
          <w:color w:val="000000"/>
          <w:sz w:val="22"/>
          <w:szCs w:val="22"/>
        </w:rPr>
        <w:t xml:space="preserve">Segundo, el Risk Score PAC busca integrar las tres dimensiones del análisis —severidad de los eventos individuales (P_ev), riesgo de la noche como unidad (P_night) y trayectoria dinámica— en un único valor de 0 a 100 calibrado sobre el conjunto de entrenamiento. Esto busca ser más informativo que el ODI3 aislado, que solo captura la frecuencia de eventos sin incorporar la reactividad autonómica, la carga hipóxica acumulada, ni el contexto dinámico de los estados PAC.</w:t>
      </w:r>
    </w:p>
    <w:p>
      <w:pPr>
        <w:spacing w:after="100" w:before="80"/>
        <w:jc w:val="left"/>
      </w:pPr>
      <w:r>
        <w:rPr>
          <w:rFonts w:ascii="Arial" w:cs="Arial" w:eastAsia="Arial" w:hAnsi="Arial"/>
          <w:b w:val="false"/>
          <w:bCs w:val="false"/>
          <w:color w:val="000000"/>
          <w:sz w:val="22"/>
          <w:szCs w:val="22"/>
        </w:rPr>
        <w:t xml:space="preserve">Tercero, el módulo de Informe IA busca reducir la brecha entre la complejidad analítica del sistema y la comunicación clínica cotidiana, tanto hacia el colega especialista como hacia el propio paciente. La generación de texto en lenguaje natural a partir de datos estructurados representa una forma emergente de interfaz clínica cuya utilidad y riesgos requieren evaluación prospectiva rigurosa.</w:t>
      </w:r>
    </w:p>
    <w:p>
      <w:pPr>
        <w:spacing w:after="60" w:before="0"/>
        <w:jc w:val="left"/>
      </w:pPr>
      <w:r>
        <w:rPr>
          <w:rFonts w:ascii="Arial" w:cs="Arial" w:eastAsia="Arial" w:hAnsi="Arial"/>
          <w:b w:val="false"/>
          <w:bCs w:val="false"/>
          <w:color w:val="000000"/>
          <w:sz w:val="22"/>
          <w:szCs w:val="22"/>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D0D8E4" w:sz="2"/>
              <w:left w:val="single" w:color="1E3A5F" w:sz="12"/>
              <w:bottom w:val="single" w:color="D0D8E4" w:sz="2"/>
              <w:right w:val="single" w:color="D0D8E4" w:sz="2"/>
            </w:tcBorders>
            <w:shd w:fill="F5F8FC" w:val="clear"/>
            <w:tcMar>
              <w:top w:type="dxa" w:w="140"/>
              <w:left w:type="dxa" w:w="200"/>
              <w:bottom w:type="dxa" w:w="140"/>
              <w:right w:type="dxa" w:w="200"/>
            </w:tcMar>
          </w:tcPr>
          <w:p>
            <w:pPr>
              <w:spacing w:after="50" w:before="50"/>
            </w:pPr>
            <w:r>
              <w:rPr>
                <w:rFonts w:ascii="Arial" w:cs="Arial" w:eastAsia="Arial" w:hAnsi="Arial"/>
                <w:b/>
                <w:bCs/>
                <w:color w:val="000000"/>
                <w:sz w:val="20"/>
                <w:szCs w:val="20"/>
              </w:rPr>
              <w:t xml:space="preserve">Bridge al Capítulo 8 — Predicción prospectiva con horizonte temporal</w:t>
            </w:r>
          </w:p>
          <w:p>
            <w:pPr>
              <w:spacing w:after="50" w:before="50"/>
            </w:pPr>
            <w:r>
              <w:rPr>
                <w:rFonts w:ascii="Arial" w:cs="Arial" w:eastAsia="Arial" w:hAnsi="Arial"/>
                <w:b w:val="false"/>
                <w:bCs w:val="false"/>
                <w:color w:val="000000"/>
                <w:sz w:val="20"/>
                <w:szCs w:val="20"/>
              </w:rPr>
              <w:t xml:space="preserve"/>
            </w:r>
          </w:p>
          <w:p>
            <w:pPr>
              <w:spacing w:after="50" w:before="50"/>
            </w:pPr>
            <w:r>
              <w:rPr>
                <w:rFonts w:ascii="Arial" w:cs="Arial" w:eastAsia="Arial" w:hAnsi="Arial"/>
                <w:b w:val="false"/>
                <w:bCs w:val="false"/>
                <w:color w:val="000000"/>
                <w:sz w:val="20"/>
                <w:szCs w:val="20"/>
              </w:rPr>
              <w:t xml:space="preserve">El límite central de la PAC App en su versión actual es que analiza la noche ya transcurrida: todos sus resultados son retrospectivos. El Risk Score se calcula cuando el registro ha concluido. El Capítulo 8 desarrolla el módulo NB08, que plantea una pregunta fundamentalmente distinta: dado el estado fisiológico corriente del paciente —los últimos 5, 10 o 15 minutos de señal— ¿es posible predecir la ocurrencia de un evento severo en los próximos minutos? Las 452.955 ventanas de 30 s analizadas, con horizontes H ∈ {2, 5, 10, 15} min, apuntan a que el horizonte óptimo es H = 5 min. Esa capacidad predictiva prospectiva es la que potencialmente habilitaría la activación adaptativa del estimulador transcutáneo del SOMNI 6000 y constituiría el paso final hacia un sistema de intervención en tiempo real.</w:t>
            </w:r>
          </w:p>
        </w:tc>
      </w:tr>
    </w:tbl>
    <w:p>
      <w:pPr>
        <w:spacing w:after="60" w:before="0"/>
        <w:jc w:val="left"/>
      </w:pPr>
      <w:r>
        <w:rPr>
          <w:rFonts w:ascii="Arial" w:cs="Arial" w:eastAsia="Arial" w:hAnsi="Arial"/>
          <w:b w:val="false"/>
          <w:bCs w:val="false"/>
          <w:color w:val="000000"/>
          <w:sz w:val="22"/>
          <w:szCs w:val="22"/>
        </w:rPr>
        <w:t xml:space="preserve"/>
      </w:r>
    </w:p>
    <w:p>
      <w:pPr>
        <w:pBdr>
          <w:bottom w:val="single" w:color="D0D8E4" w:sz="4"/>
        </w:pBdr>
        <w:spacing w:after="160" w:before="160"/>
        <w:jc w:val="left"/>
      </w:pPr>
      <w:r>
        <w:rPr>
          <w:rFonts w:ascii="Arial" w:cs="Arial" w:eastAsia="Arial" w:hAnsi="Arial"/>
          <w:b w:val="false"/>
          <w:bCs w:val="false"/>
          <w:color w:val="000000"/>
          <w:sz w:val="22"/>
          <w:szCs w:val="22"/>
        </w:rPr>
        <w:t xml:space="preserve"/>
      </w:r>
    </w:p>
    <w:p>
      <w:pPr>
        <w:spacing w:after="160" w:before="340"/>
        <w:jc w:val="left"/>
      </w:pPr>
      <w:r>
        <w:rPr>
          <w:rFonts w:ascii="Arial" w:cs="Arial" w:eastAsia="Arial" w:hAnsi="Arial"/>
          <w:b/>
          <w:bCs/>
          <w:color w:val="1E3A5F"/>
          <w:sz w:val="32"/>
          <w:szCs w:val="32"/>
        </w:rPr>
        <w:t xml:space="preserve">Referencias</w:t>
      </w:r>
    </w:p>
    <w:p>
      <w:pPr>
        <w:spacing w:after="100" w:before="80"/>
        <w:jc w:val="left"/>
      </w:pPr>
      <w:r>
        <w:rPr>
          <w:rFonts w:ascii="Arial" w:cs="Arial" w:eastAsia="Arial" w:hAnsi="Arial"/>
          <w:b w:val="false"/>
          <w:bCs w:val="false"/>
          <w:color w:val="000000"/>
          <w:sz w:val="22"/>
          <w:szCs w:val="22"/>
        </w:rPr>
        <w:t xml:space="preserve">Anthropic. (2024). Claude: un asistente de IA por Anthropic. https://www.anthropic.com</w:t>
      </w:r>
    </w:p>
    <w:p>
      <w:pPr>
        <w:spacing w:after="100" w:before="80"/>
        <w:jc w:val="left"/>
      </w:pPr>
      <w:r>
        <w:rPr>
          <w:rFonts w:ascii="Arial" w:cs="Arial" w:eastAsia="Arial" w:hAnsi="Arial"/>
          <w:b w:val="false"/>
          <w:bCs w:val="false"/>
          <w:color w:val="000000"/>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p>
    <w:p>
      <w:pPr>
        <w:spacing w:after="100" w:before="80"/>
        <w:jc w:val="left"/>
      </w:pPr>
      <w:r>
        <w:rPr>
          <w:rFonts w:ascii="Arial" w:cs="Arial" w:eastAsia="Arial" w:hAnsi="Arial"/>
          <w:b w:val="false"/>
          <w:bCs w:val="false"/>
          <w:color w:val="000000"/>
          <w:sz w:val="22"/>
          <w:szCs w:val="22"/>
        </w:rPr>
        <w:t xml:space="preserve">Ke, G., Meng, Q., Finley, T., Wang, T., Chen, W., Ma, W., Ye, Q., &amp; Liu, T.-Y. (2017). LightGBM: a highly efficient gradient boosting decision tree. Advances in Neural Information Processing Systems, 30, 3146–3154.</w:t>
      </w:r>
    </w:p>
    <w:p>
      <w:pPr>
        <w:spacing w:after="100" w:before="80"/>
        <w:jc w:val="left"/>
      </w:pPr>
      <w:r>
        <w:rPr>
          <w:rFonts w:ascii="Arial" w:cs="Arial" w:eastAsia="Arial" w:hAnsi="Arial"/>
          <w:b w:val="false"/>
          <w:bCs w:val="false"/>
          <w:color w:val="000000"/>
          <w:sz w:val="22"/>
          <w:szCs w:val="22"/>
        </w:rPr>
        <w:t xml:space="preserve">McKinney, W. (2010). Data structures for statistical computing in Python. Proceedings of the 9th Python in Science Conference, 56–61. https://doi.org/10.25080/Majora-92bf1922-00a</w:t>
      </w:r>
    </w:p>
    <w:p>
      <w:pPr>
        <w:spacing w:after="100" w:before="80"/>
        <w:jc w:val="left"/>
      </w:pPr>
      <w:r>
        <w:rPr>
          <w:rFonts w:ascii="Arial" w:cs="Arial" w:eastAsia="Arial" w:hAnsi="Arial"/>
          <w:b w:val="false"/>
          <w:bCs w:val="false"/>
          <w:color w:val="000000"/>
          <w:sz w:val="22"/>
          <w:szCs w:val="22"/>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100" w:before="80"/>
        <w:jc w:val="left"/>
      </w:pPr>
      <w:r>
        <w:rPr>
          <w:rFonts w:ascii="Arial" w:cs="Arial" w:eastAsia="Arial" w:hAnsi="Arial"/>
          <w:b w:val="false"/>
          <w:bCs w:val="false"/>
          <w:color w:val="000000"/>
          <w:sz w:val="22"/>
          <w:szCs w:val="22"/>
        </w:rPr>
        <w:t xml:space="preserve">Plotly Technologies Inc. (2015). Collaborative data science. https://plot.ly</w:t>
      </w:r>
    </w:p>
    <w:p>
      <w:pPr>
        <w:spacing w:after="100" w:before="80"/>
        <w:jc w:val="left"/>
      </w:pPr>
      <w:r>
        <w:rPr>
          <w:rFonts w:ascii="Arial" w:cs="Arial" w:eastAsia="Arial" w:hAnsi="Arial"/>
          <w:b w:val="false"/>
          <w:bCs w:val="false"/>
          <w:color w:val="000000"/>
          <w:sz w:val="22"/>
          <w:szCs w:val="22"/>
        </w:rPr>
        <w:t xml:space="preserve">Streamlit Inc. (2019). Streamlit: the fastest way to build and share data apps. https://streamlit.io</w:t>
      </w:r>
    </w:p>
    <w:p>
      <w:pPr>
        <w:spacing w:after="100" w:before="80"/>
        <w:jc w:val="left"/>
      </w:pPr>
      <w:r>
        <w:rPr>
          <w:rFonts w:ascii="Arial" w:cs="Arial" w:eastAsia="Arial" w:hAnsi="Arial"/>
          <w:b w:val="false"/>
          <w:bCs w:val="false"/>
          <w:color w:val="000000"/>
          <w:sz w:val="22"/>
          <w:szCs w:val="22"/>
        </w:rPr>
        <w:t xml:space="preserve">Wasserstein, R. L., &amp; Lazar, N. A. (2016). The ASA statement on p-values: context, process, and purpose. The American Statistician, 70(2), 129–133. https://doi.org/10.1080/00031305.2016.1154108</w:t>
      </w:r>
    </w:p>
    <w:p>
      <w:pPr>
        <w:spacing w:after="60" w:before="0"/>
        <w:jc w:val="left"/>
      </w:pPr>
      <w:r>
        <w:rPr>
          <w:rFonts w:ascii="Arial" w:cs="Arial" w:eastAsia="Arial" w:hAnsi="Arial"/>
          <w:b w:val="false"/>
          <w:bCs w:val="false"/>
          <w:color w:val="000000"/>
          <w:sz w:val="22"/>
          <w:szCs w:val="22"/>
        </w:rPr>
        <w:t xml:space="preserv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spacing w:after="0" w:before="140"/>
      <w:jc w:val="right"/>
    </w:pPr>
    <w:r>
      <w:rPr>
        <w:rFonts w:ascii="Arial" w:cs="Arial" w:eastAsia="Arial" w:hAnsi="Arial"/>
        <w:b w:val="false"/>
        <w:bCs w:val="false"/>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spacing w:after="140" w:before="0"/>
    </w:pPr>
    <w:r>
      <w:rPr>
        <w:rFonts w:ascii="Arial" w:cs="Arial" w:eastAsia="Arial" w:hAnsi="Arial"/>
        <w:b w:val="false"/>
        <w:bCs w:val="false"/>
        <w:color w:val="6B7280"/>
        <w:sz w:val="18"/>
        <w:szCs w:val="18"/>
      </w:rPr>
      <w:t xml:space="preserve">Proyecto APNEA · Tesis de Maestría</w:t>
    </w:r>
    <w:r>
      <w:rPr>
        <w:rFonts w:ascii="Arial" w:cs="Arial" w:eastAsia="Arial" w:hAnsi="Arial"/>
        <w:b w:val="false"/>
        <w:bCs w:val="false"/>
        <w:color w:val="000000"/>
        <w:sz w:val="18"/>
        <w:szCs w:val="18"/>
      </w:rPr>
      <w:t xml:space="preserve">	</w:t>
    </w:r>
    <w:r>
      <w:rPr>
        <w:rFonts w:ascii="Arial" w:cs="Arial" w:eastAsia="Arial" w:hAnsi="Arial"/>
        <w:b w:val="false"/>
        <w:bCs w:val="false"/>
        <w:color w:val="6B7280"/>
        <w:sz w:val="18"/>
        <w:szCs w:val="18"/>
      </w:rPr>
      <w:t xml:space="preserve">Capítulo 7 — App Clínica Interactiva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spacing w:after="80" w:before="8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2026-05-27T03:22:15.982Z</dcterms:created>
  <dcterms:modified xsi:type="dcterms:W3CDTF">2026-05-27T03:22:15.982Z</dcterms:modified>
</cp:coreProperties>
</file>

<file path=docProps/custom.xml><?xml version="1.0" encoding="utf-8"?>
<Properties xmlns="http://schemas.openxmlformats.org/officeDocument/2006/custom-properties" xmlns:vt="http://schemas.openxmlformats.org/officeDocument/2006/docPropsVTypes"/>
</file>