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12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60" w:before="200"/>
      </w:pPr>
      <w:r>
        <w:rPr>
          <w:rFonts w:ascii="Arial" w:cs="Arial" w:eastAsia="Arial" w:hAnsi="Arial"/>
          <w:b/>
          <w:bCs/>
          <w:color w:val="1E3A5F"/>
          <w:sz w:val="22"/>
          <w:szCs w:val="22"/>
        </w:rPr>
        <w:t>Detección de fragmentación de eventos</w:t>
      </w:r>
    </w:p>
    <w:p>
      <w:pPr>
        <w:spacing w:after="160" w:before="0"/>
      </w:pPr>
      <w:r>
        <w:rPr>
          <w:rFonts w:ascii="Arial" w:cs="Arial" w:eastAsia="Arial" w:hAnsi="Arial"/>
          <w:sz w:val="22"/>
          <w:szCs w:val="22"/>
        </w:rPr>
        <w:t xml:space="preserve">La sub-pestaña P(severo) implementa también la detección automática de </w:t>
      </w:r>
      <w:r>
        <w:rPr>
          <w:rFonts w:ascii="Arial" w:cs="Arial" w:eastAsia="Arial" w:hAnsi="Arial"/>
          <w:b/>
          <w:bCs/>
          <w:sz w:val="22"/>
          <w:szCs w:val="22"/>
        </w:rPr>
        <w:t>fragmentación de eventos</w:t>
      </w:r>
      <w:r>
        <w:rPr>
          <w:rFonts w:ascii="Arial" w:cs="Arial" w:eastAsia="Arial" w:hAnsi="Arial"/>
          <w:sz w:val="22"/>
          <w:szCs w:val="22"/>
        </w:rPr>
        <w:t xml:space="preserve">, un fenómeno que emerge de la interacción entre la ventana de baseline móvil (120 s) y el intervalo inter-evento mediano (82 s). Cuando un evento severo (C3–C5) es seguido por otro evento dentro de los 90 s posteriores, la baseline local del segundo evento ya se encuentra descendida respecto al nivel de reposo real del paciente; en consecuencia, su caída relativa queda subestimada y tiende a clasificarse como C1 o C2, aunque en términos absolutos el paciente continúe hipóxico. Este fenómeno introduce dos sesgos interpretativos: el ODI sobreestima el número de eventos independientes, y el ARI del C1/C2 post-severo puede ser artificialmente bajo porque el sistema autónomo ya había respondido al evento precedente.</w:t>
      </w:r>
    </w:p>
    <w:p>
      <w:pPr>
        <w:spacing w:after="160" w:before="0"/>
      </w:pPr>
      <w:r>
        <w:rPr>
          <w:rFonts w:ascii="Arial" w:cs="Arial" w:eastAsia="Arial" w:hAnsi="Arial"/>
          <w:sz w:val="22"/>
          <w:szCs w:val="22"/>
        </w:rPr>
        <w:t xml:space="preserve">La interfaz cuantifica este patrón buscando pares donde un evento C1/C2 ocurre dentro de los 90 s posteriores al fin de un evento C3, C4 o C5, e informa el número de eventos candidatos a fragmentación en el texto interpretativo del gráfico. Esta alerta orienta al especialista a considerar la </w:t>
      </w:r>
      <w:r>
        <w:rPr>
          <w:rFonts w:ascii="Arial" w:cs="Arial" w:eastAsia="Arial" w:hAnsi="Arial"/>
          <w:i/>
          <w:iCs/>
          <w:sz w:val="22"/>
          <w:szCs w:val="22"/>
        </w:rPr>
        <w:t>hypoxic burden</w:t>
      </w:r>
      <w:r>
        <w:rPr>
          <w:rFonts w:ascii="Arial" w:cs="Arial" w:eastAsia="Arial" w:hAnsi="Arial"/>
          <w:sz w:val="22"/>
          <w:szCs w:val="22"/>
        </w:rPr>
        <w:t xml:space="preserve"> (área bajo la curva SpO₂) como complemento del ODI en noches con alta densidad de eventos consecutivos, ya que integra la carga hipóxica real con independencia de cómo el algoritmo divida los episodios. La base metodológica de este fenómeno se discute en §4.2.4.</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