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14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§6.13:</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60" w:before="200"/>
      </w:pPr>
      <w:r>
        <w:rPr>
          <w:rFonts w:ascii="Arial" w:cs="Arial" w:eastAsia="Arial" w:hAnsi="Arial"/>
          <w:b/>
          <w:bCs/>
          <w:color w:val="1E3A5F"/>
          <w:sz w:val="22"/>
          <w:szCs w:val="22"/>
        </w:rPr>
        <w:t xml:space="preserve">Interpretación de la distinción color / altura</w:t>
      </w:r>
    </w:p>
    <w:p>
      <w:pPr>
        <w:spacing w:after="160" w:before="0"/>
      </w:pPr>
      <w:r>
        <w:rPr>
          <w:rFonts w:ascii="Arial" w:cs="Arial" w:eastAsia="Arial" w:hAnsi="Arial"/>
          <w:sz w:val="22"/>
          <w:szCs w:val="22"/>
        </w:rPr>
        <w:t xml:space="preserve">Una característica conceptualmente importante de este gráfico es que el </w:t>
      </w:r>
      <w:r>
        <w:rPr>
          <w:rFonts w:ascii="Arial" w:cs="Arial" w:eastAsia="Arial" w:hAnsi="Arial"/>
          <w:b/>
          <w:bCs/>
          <w:sz w:val="22"/>
          <w:szCs w:val="22"/>
        </w:rPr>
        <w:t xml:space="preserve">color</w:t>
      </w:r>
      <w:r>
        <w:rPr>
          <w:rFonts w:ascii="Arial" w:cs="Arial" w:eastAsia="Arial" w:hAnsi="Arial"/>
          <w:sz w:val="22"/>
          <w:szCs w:val="22"/>
        </w:rPr>
        <w:t xml:space="preserve"> y la </w:t>
      </w:r>
      <w:r>
        <w:rPr>
          <w:rFonts w:ascii="Arial" w:cs="Arial" w:eastAsia="Arial" w:hAnsi="Arial"/>
          <w:b/>
          <w:bCs/>
          <w:sz w:val="22"/>
          <w:szCs w:val="22"/>
        </w:rPr>
        <w:t xml:space="preserve">altura</w:t>
      </w:r>
      <w:r>
        <w:rPr>
          <w:rFonts w:ascii="Arial" w:cs="Arial" w:eastAsia="Arial" w:hAnsi="Arial"/>
          <w:sz w:val="22"/>
          <w:szCs w:val="22"/>
        </w:rPr>
        <w:t xml:space="preserve"> de cada barra miden cosas distintas. El color refleja el morfotipo </w:t>
      </w:r>
      <w:r>
        <w:rPr>
          <w:rFonts w:ascii="Arial" w:cs="Arial" w:eastAsia="Arial" w:hAnsi="Arial"/>
          <w:i/>
          <w:iCs/>
          <w:sz w:val="22"/>
          <w:szCs w:val="22"/>
        </w:rPr>
        <w:t xml:space="preserve">real</w:t>
      </w:r>
      <w:r>
        <w:rPr>
          <w:rFonts w:ascii="Arial" w:cs="Arial" w:eastAsia="Arial" w:hAnsi="Arial"/>
          <w:sz w:val="22"/>
          <w:szCs w:val="22"/>
        </w:rPr>
        <w:t xml:space="preserve"> del evento —lo que el evento fue, determinado post-hoc por el clasificador K-means sobre la curva SpO₂—. La altura refleja lo que el modelo LightGBM </w:t>
      </w:r>
      <w:r>
        <w:rPr>
          <w:rFonts w:ascii="Arial" w:cs="Arial" w:eastAsia="Arial" w:hAnsi="Arial"/>
          <w:i/>
          <w:iCs/>
          <w:sz w:val="22"/>
          <w:szCs w:val="22"/>
        </w:rPr>
        <w:t xml:space="preserve">predijo</w:t>
      </w:r>
      <w:r>
        <w:rPr>
          <w:rFonts w:ascii="Arial" w:cs="Arial" w:eastAsia="Arial" w:hAnsi="Arial"/>
          <w:sz w:val="22"/>
          <w:szCs w:val="22"/>
        </w:rPr>
        <w:t xml:space="preserve"> que sería ese evento, basado exclusivamente en features de contexto calculadas en el momento del evento: el estado M activo, la proporción de eventos severos acumulados hasta ese punto de la noche, la media de morfotipos de los últimos 30 eventos y el coupling index acumulado. El morfotipo del evento no es una variable de entrada del modelo —hacerlo constituiría una fuga de información, dado que el morfotipo es exactamente la variable objetivo de la predicción.</w:t>
      </w:r>
    </w:p>
    <w:p>
      <w:pPr>
        <w:spacing w:after="160" w:before="0"/>
      </w:pPr>
      <w:r>
        <w:rPr>
          <w:rFonts w:ascii="Arial" w:cs="Arial" w:eastAsia="Arial" w:hAnsi="Arial"/>
          <w:sz w:val="22"/>
          <w:szCs w:val="22"/>
        </w:rPr>
        <w:t xml:space="preserve">Esta distinción tiene una implicación clínica directa: una barra azul (C1, subcrítico) con altura elevada —superior al umbral de Youden— no es un error del gráfico ni una inconsistencia del modelo. Significa que el evento ocurrió en un contexto fisiológico típico de eventos graves pero resultó morfológicamente leve. El organismo estaba en una configuración de riesgo que no llegó a concretarse en un evento severo en esa instancia.</w:t>
      </w:r>
    </w:p>
    <w:p>
      <w:pPr>
        <w:spacing w:after="160" w:before="0"/>
      </w:pPr>
      <w:r>
        <w:rPr>
          <w:rFonts w:ascii="Arial" w:cs="Arial" w:eastAsia="Arial" w:hAnsi="Arial"/>
          <w:sz w:val="22"/>
          <w:szCs w:val="22"/>
        </w:rPr>
        <w:t xml:space="preserve">La acumulación de barras altas en morfotipos C1/C2 es una señal de </w:t>
      </w:r>
      <w:r>
        <w:rPr>
          <w:rFonts w:ascii="Arial" w:cs="Arial" w:eastAsia="Arial" w:hAnsi="Arial"/>
          <w:b/>
          <w:bCs/>
          <w:sz w:val="22"/>
          <w:szCs w:val="22"/>
        </w:rPr>
        <w:t xml:space="preserve">riesgo contextual oculto</w:t>
      </w:r>
      <w:r>
        <w:rPr>
          <w:rFonts w:ascii="Arial" w:cs="Arial" w:eastAsia="Arial" w:hAnsi="Arial"/>
          <w:sz w:val="22"/>
          <w:szCs w:val="22"/>
        </w:rPr>
        <w:t xml:space="preserve">: la noche presenta alto riesgo fisiológico sistémico aunque los morfotipos individuales sean leves. Este patrón no es capturado por el ODI ni por el porcentaje de eventos C4/C5, y representa una de las aportaciones interpretativas distintivas del sistema PAC respecto a los índices clásicos. La interfaz detecta este patrón automáticamente e informa al especialista cuántos eventos leves ocurrieron en contexto de riesgo alto, junto con su distribución temporal en la noche.</w:t>
      </w:r>
    </w:p>
    <w:p>
      <w:pPr>
        <w:spacing w:after="60" w:before="200"/>
      </w:pPr>
      <w:r>
        <w:rPr>
          <w:rFonts w:ascii="Arial" w:cs="Arial" w:eastAsia="Arial" w:hAnsi="Arial"/>
          <w:b/>
          <w:bCs/>
          <w:color w:val="1E3A5F"/>
          <w:sz w:val="22"/>
          <w:szCs w:val="22"/>
        </w:rPr>
        <w:t>Detección de fragmentación de eventos</w:t>
      </w:r>
    </w:p>
    <w:p>
      <w:pPr>
        <w:spacing w:after="160" w:before="0"/>
      </w:pPr>
      <w:r>
        <w:rPr>
          <w:rFonts w:ascii="Arial" w:cs="Arial" w:eastAsia="Arial" w:hAnsi="Arial"/>
          <w:sz w:val="22"/>
          <w:szCs w:val="22"/>
        </w:rPr>
        <w:t xml:space="preserve">La sub-pestaña P(severo) implementa también la detección automática de </w:t>
      </w:r>
      <w:r>
        <w:rPr>
          <w:rFonts w:ascii="Arial" w:cs="Arial" w:eastAsia="Arial" w:hAnsi="Arial"/>
          <w:b/>
          <w:bCs/>
          <w:sz w:val="22"/>
          <w:szCs w:val="22"/>
        </w:rPr>
        <w:t>fragmentación de eventos</w:t>
      </w:r>
      <w:r>
        <w:rPr>
          <w:rFonts w:ascii="Arial" w:cs="Arial" w:eastAsia="Arial" w:hAnsi="Arial"/>
          <w:sz w:val="22"/>
          <w:szCs w:val="22"/>
        </w:rPr>
        <w:t xml:space="preserve">, un fenómeno que emerge de la interacción entre la ventana de baseline móvil (120 s) y el intervalo inter-evento mediano (82 s). Cuando un evento severo (C3–C5) es seguido por otro evento dentro de los 90 s posteriores, la baseline local del segundo evento ya se encuentra descendida respecto al nivel de reposo real del paciente; en consecuencia, su caída relativa queda subestimada y tiende a clasificarse como C1 o C2, aunque en términos absolutos el paciente continúe hipóxico. Este fenómeno introduce dos sesgos interpretativos: el ODI sobreestima el número de eventos independientes, y el ARI del C1/C2 post-severo puede ser artificialmente bajo porque el sistema autónomo ya había respondido al evento precedente.</w:t>
      </w:r>
    </w:p>
    <w:p>
      <w:pPr>
        <w:spacing w:after="160" w:before="0"/>
      </w:pPr>
      <w:r>
        <w:rPr>
          <w:rFonts w:ascii="Arial" w:cs="Arial" w:eastAsia="Arial" w:hAnsi="Arial"/>
          <w:sz w:val="22"/>
          <w:szCs w:val="22"/>
        </w:rPr>
        <w:t xml:space="preserve">La interfaz cuantifica este patrón buscando pares donde un evento C1/C2 ocurre dentro de los 90 s posteriores al fin de un evento C3, C4 o C5, e informa el número de eventos candidatos a fragmentación en el texto interpretativo del gráfico. Esta alerta orienta al especialista a considerar la </w:t>
      </w:r>
      <w:r>
        <w:rPr>
          <w:rFonts w:ascii="Arial" w:cs="Arial" w:eastAsia="Arial" w:hAnsi="Arial"/>
          <w:i/>
          <w:iCs/>
          <w:sz w:val="22"/>
          <w:szCs w:val="22"/>
        </w:rPr>
        <w:t>hypoxic burden</w:t>
      </w:r>
      <w:r>
        <w:rPr>
          <w:rFonts w:ascii="Arial" w:cs="Arial" w:eastAsia="Arial" w:hAnsi="Arial"/>
          <w:sz w:val="22"/>
          <w:szCs w:val="22"/>
        </w:rPr>
        <w:t xml:space="preserve"> (área bajo la curva SpO₂) como complemento del ODI en noches con alta densidad de eventos consecutivos, ya que integra la carga hipóxica real con independencia de cómo el algoritmo divida los episodios. La base metodológica de este fenómeno se discute en §4.2.4.</w:t>
      </w:r>
    </w:p>
    <w:p>
      <w:pPr>
        <w:spacing w:after="60" w:before="200"/>
      </w:pPr>
      <w:r>
        <w:rPr>
          <w:rFonts w:ascii="Arial" w:cs="Arial" w:eastAsia="Arial" w:hAnsi="Arial"/>
          <w:b/>
          <w:bCs/>
          <w:color w:val="1E3A5F"/>
          <w:sz w:val="22"/>
          <w:szCs w:val="22"/>
        </w:rPr>
        <w:t>Clusters de P(severo) alta en morfotipos leves: firma de episodio fragmentado</w:t>
      </w:r>
    </w:p>
    <w:p>
      <w:pPr>
        <w:spacing w:after="160" w:before="0"/>
      </w:pPr>
      <w:r>
        <w:rPr>
          <w:rFonts w:ascii="Arial" w:cs="Arial" w:eastAsia="Arial" w:hAnsi="Arial"/>
          <w:sz w:val="22"/>
          <w:szCs w:val="22"/>
        </w:rPr>
        <w:t xml:space="preserve">La combinación de los dos fenómenos anteriores —fragmentación morfológica y detección automática— genera un patrón visual reconocible en el gráfico P(severo): cuando un episodio de hipoxemia prolongado es dividido por el algoritmo en múltiples eventos cortos consecutivos, todos esos fragmentos comparten el mismo estado PAC activo. El modelo LightGBM, que predice a partir del contexto fisiológico y no del morfotipo individual, asigna una P(severo) alta a cada fragmento. El resultado es un </w:t>
      </w:r>
      <w:r>
        <w:rPr>
          <w:rFonts w:ascii="Arial" w:cs="Arial" w:eastAsia="Arial" w:hAnsi="Arial"/>
          <w:b/>
          <w:bCs/>
          <w:sz w:val="22"/>
          <w:szCs w:val="22"/>
        </w:rPr>
        <w:t>clúster denso de barras altas en morfotipos C1/C2</w:t>
      </w:r>
      <w:r>
        <w:rPr>
          <w:rFonts w:ascii="Arial" w:cs="Arial" w:eastAsia="Arial" w:hAnsi="Arial"/>
          <w:sz w:val="22"/>
          <w:szCs w:val="22"/>
        </w:rPr>
        <w:t xml:space="preserve"> concentrado en una ventana temporal de 10–20 minutos. Este patrón no debe interpretarse como múltiples eventos independientes con riesgo contextual oculto, sino como la firma predictiva de un único episodio prolongado que el algoritmo de detección fragmentó. Esto no constituye un error del modelo: el estado fisiológico está genuinamente comprometido durante todo ese período. La implicación para el especialista es que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El texto interpretativo automático de la sub-pestaña alerta cuando se detectan N eventos C1/C2 dentro de los 90 s posteriores a un evento severo, orientando a revisar este patrón junto con la señal SpO₂ de la sub-pestaña Detalle en la pestaña Historia. El mecanismo subyacente se desarrolla en §4.2.4 y §6.8.</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2026-05-31T20:44:11.233Z</dcterms:created>
  <dcterms:modified xsi:type="dcterms:W3CDTF">2026-05-31T20:44:11.233Z</dcterms:modified>
</cp:coreProperties>
</file>

<file path=docProps/custom.xml><?xml version="1.0" encoding="utf-8"?>
<Properties xmlns="http://schemas.openxmlformats.org/officeDocument/2006/custom-properties" xmlns:vt="http://schemas.openxmlformats.org/officeDocument/2006/docPropsVTypes"/>
</file>