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7</w:t>
      </w:r>
    </w:p>
    <w:p>
      <w:pPr>
        <w:spacing w:after="120" w:before="60"/>
      </w:pPr>
      <w:r>
        <w:rPr>
          <w:rFonts w:ascii="Arial" w:cs="Arial" w:eastAsia="Arial" w:hAnsi="Arial"/>
          <w:b/>
          <w:bCs/>
          <w:color w:val="1E3A5F"/>
          <w:sz w:val="36"/>
          <w:szCs w:val="36"/>
        </w:rPr>
        <w:t xml:space="preserve">Interfaz Clínica Interactiva: PAC App</w:t>
      </w:r>
    </w:p>
    <w:p>
      <w:pPr>
        <w:spacing w:after="360" w:before="60"/>
      </w:pPr>
      <w:r>
        <w:rPr>
          <w:rFonts w:ascii="Arial" w:cs="Arial" w:eastAsia="Arial" w:hAnsi="Arial"/>
          <w:color w:val="6B7280"/>
          <w:sz w:val="18"/>
          <w:szCs w:val="18"/>
        </w:rPr>
        <w:t xml:space="preserve">Versión 3  ·  Mayo 2026</w:t>
      </w:r>
    </w:p>
    <w:p>
      <w:pPr>
        <w:spacing w:after="160" w:before="0"/>
      </w:pPr>
      <w:r>
        <w:rPr>
          <w:rFonts w:ascii="Arial" w:cs="Arial" w:eastAsia="Arial" w:hAnsi="Arial"/>
          <w:sz w:val="22"/>
          <w:szCs w:val="22"/>
        </w:rPr>
        <w:t xml:space="preserve">Los capítulos precedentes construyeron, desde la señal bruta del pulsioxímetro hasta los modelos predictivos, un conjunto de representaciones analíticas de la fisiología nocturna del SAOS: morfotipos de curvas SpO₂ (Cap04), el </w:t>
      </w:r>
      <w:r>
        <w:rPr>
          <w:rFonts w:ascii="Arial" w:cs="Arial" w:eastAsia="Arial" w:hAnsi="Arial"/>
          <w:b/>
          <w:bCs/>
          <w:sz w:val="22"/>
          <w:szCs w:val="22"/>
        </w:rPr>
        <w:t xml:space="preserve">Índice de Reactividad Autonómica</w:t>
      </w:r>
      <w:r>
        <w:rPr>
          <w:rFonts w:ascii="Arial" w:cs="Arial" w:eastAsia="Arial" w:hAnsi="Arial"/>
          <w:sz w:val="22"/>
          <w:szCs w:val="22"/>
        </w:rPr>
        <w:t xml:space="preserve"> o ARI (Cap04), los estados PAC en tres escalas temporales (Cap05), y el Risk Score nocturno basado en LightGBM y regresión logística (Cap06). Estas representaciones, aunque computacionalmente rigurosas, requieren una interfaz de traducción para ser utilizables en la práctica clínica cotidiana. El presente capítulo describe el desarrollo de la </w:t>
      </w:r>
      <w:r>
        <w:rPr>
          <w:rFonts w:ascii="Arial" w:cs="Arial" w:eastAsia="Arial" w:hAnsi="Arial"/>
          <w:b/>
          <w:bCs/>
          <w:sz w:val="22"/>
          <w:szCs w:val="22"/>
        </w:rPr>
        <w:t xml:space="preserve">PAC App</w:t>
      </w:r>
      <w:r>
        <w:rPr>
          <w:rFonts w:ascii="Arial" w:cs="Arial" w:eastAsia="Arial" w:hAnsi="Arial"/>
          <w:sz w:val="22"/>
          <w:szCs w:val="22"/>
        </w:rPr>
        <w:t xml:space="preserve">, una aplicación web interactiva —implementada en Streamlit sobre Python— que busca materializar esas representaciones en un flujo de trabajo accesible para el especialista: cargar el archivo de oximetría nocturna generado por el dispositivo SOMNI 6000, obtener en minutos un perfil fenotípico completo, y opcionalmente generar un informe clínico en lenguaje natural mediante inteligencia artificial generativa.</w:t>
      </w:r>
    </w:p>
    <w:p>
      <w:pPr>
        <w:pStyle w:val="Heading1"/>
        <w:spacing w:after="120" w:before="360"/>
      </w:pPr>
      <w:r>
        <w:rPr>
          <w:rFonts w:ascii="Arial" w:cs="Arial" w:eastAsia="Arial" w:hAnsi="Arial"/>
          <w:b/>
          <w:bCs/>
          <w:color w:val="1E3A5F"/>
          <w:sz w:val="28"/>
          <w:szCs w:val="28"/>
        </w:rPr>
        <w:t xml:space="preserve">7.1 Motivación y objetivos de la interfaz</w:t>
      </w:r>
    </w:p>
    <w:p>
      <w:pPr>
        <w:spacing w:after="160" w:before="0"/>
      </w:pPr>
      <w:r>
        <w:rPr>
          <w:rFonts w:ascii="Arial" w:cs="Arial" w:eastAsia="Arial" w:hAnsi="Arial"/>
          <w:sz w:val="22"/>
          <w:szCs w:val="22"/>
        </w:rPr>
        <w:t xml:space="preserve">El análisis desarrollado en los capítulos anteriores operó sobre la cohorte completa en modo batch: cada cuaderno de análisis (NB01–NB07) procesó simultáneamente las 560 noches disponibles, produciendo las tablas Gold y los artefactos de modelos entrenados. Este modo de operación, apropiado para la investigación, no es compatible con el flujo clínico real, en el que el médico recibe —noche a noche— el archivo Excel generado por el dispositivo SOMNI 6000 para un paciente individual. La PAC App busca cerrar esa brecha: tomar el mismo archivo de oximetría domiciliaria, ejecutar el pipeline PAC_v3 sobre esa única noche, y devolver al clínico una interpretación estructurada.</w:t>
      </w:r>
    </w:p>
    <w:p>
      <w:pPr>
        <w:spacing w:after="160" w:before="0"/>
      </w:pPr>
      <w:r>
        <w:rPr>
          <w:rFonts w:ascii="Arial" w:cs="Arial" w:eastAsia="Arial" w:hAnsi="Arial"/>
          <w:sz w:val="22"/>
          <w:szCs w:val="22"/>
        </w:rPr>
        <w:t xml:space="preserve">Los objetivos de la interfaz son tres:</w:t>
      </w:r>
    </w:p>
    <w:p>
      <w:pPr>
        <w:pStyle w:val="ListParagraph"/>
        <w:numPr>
          <w:ilvl w:val="0"/>
          <w:numId w:val="2"/>
        </w:numPr>
        <w:spacing w:after="40" w:before="40"/>
      </w:pPr>
      <w:r>
        <w:rPr>
          <w:rFonts w:ascii="Arial" w:cs="Arial" w:eastAsia="Arial" w:hAnsi="Arial"/>
          <w:b/>
          <w:bCs/>
          <w:sz w:val="22"/>
          <w:szCs w:val="22"/>
        </w:rPr>
        <w:t xml:space="preserve">Procesamiento individual: </w:t>
      </w:r>
      <w:r>
        <w:rPr>
          <w:rFonts w:ascii="Arial" w:cs="Arial" w:eastAsia="Arial" w:hAnsi="Arial"/>
          <w:sz w:val="22"/>
          <w:szCs w:val="22"/>
        </w:rPr>
        <w:t xml:space="preserve">ejecutar el pipeline completo —ingesta, control de calidad, detección de EDOs, clasificación de morfotipos, asignación de estados PAC, cómputo de features y predicción— sobre una sola noche, en un tiempo de respuesta compatible con el uso clínico (&lt; 60 segundos en hardware estándar).</w:t>
      </w:r>
    </w:p>
    <w:p>
      <w:pPr>
        <w:pStyle w:val="ListParagraph"/>
        <w:numPr>
          <w:ilvl w:val="0"/>
          <w:numId w:val="2"/>
        </w:numPr>
        <w:spacing w:after="40" w:before="40"/>
      </w:pPr>
      <w:r>
        <w:rPr>
          <w:rFonts w:ascii="Arial" w:cs="Arial" w:eastAsia="Arial" w:hAnsi="Arial"/>
          <w:b/>
          <w:bCs/>
          <w:sz w:val="22"/>
          <w:szCs w:val="22"/>
        </w:rPr>
        <w:t xml:space="preserve">Visualización interactiva: </w:t>
      </w:r>
      <w:r>
        <w:rPr>
          <w:rFonts w:ascii="Arial" w:cs="Arial" w:eastAsia="Arial" w:hAnsi="Arial"/>
          <w:sz w:val="22"/>
          <w:szCs w:val="22"/>
        </w:rPr>
        <w:t xml:space="preserve">exponer las representaciones PAC en gráficos Plotly interactivos que permitan al especialista explorar la señal, los eventos, los estados fisiológicos y la trayectoria nocturna a distintos niveles de granularidad.</w:t>
      </w:r>
    </w:p>
    <w:p>
      <w:pPr>
        <w:pStyle w:val="ListParagraph"/>
        <w:numPr>
          <w:ilvl w:val="0"/>
          <w:numId w:val="2"/>
        </w:numPr>
        <w:spacing w:after="40" w:before="40"/>
      </w:pPr>
      <w:r>
        <w:rPr>
          <w:rFonts w:ascii="Arial" w:cs="Arial" w:eastAsia="Arial" w:hAnsi="Arial"/>
          <w:b/>
          <w:bCs/>
          <w:sz w:val="22"/>
          <w:szCs w:val="22"/>
        </w:rPr>
        <w:t xml:space="preserve">Generación de informe: </w:t>
      </w:r>
      <w:r>
        <w:rPr>
          <w:rFonts w:ascii="Arial" w:cs="Arial" w:eastAsia="Arial" w:hAnsi="Arial"/>
          <w:sz w:val="22"/>
          <w:szCs w:val="22"/>
        </w:rPr>
        <w:t xml:space="preserve">producir, mediante un modelo de lenguaje, un informe narrativo estructurado en dos audiencias —el médico especialista y el propio paciente— descargable en formato Word (.docx).</w:t>
      </w:r>
    </w:p>
    <w:p>
      <w:pPr>
        <w:spacing w:after="160" w:before="0"/>
      </w:pPr>
      <w:r>
        <w:rPr>
          <w:rFonts w:ascii="Arial" w:cs="Arial" w:eastAsia="Arial" w:hAnsi="Arial"/>
          <w:sz w:val="22"/>
          <w:szCs w:val="22"/>
        </w:rPr>
        <w:t xml:space="preserve">El usuario objetivo es el especialista en medicina del sueño o neumólogo que opera el SOMNI 6000 en contexto clínico ambulatorio y que busca complementar los índices clásicos del dispositivo (ODI3, SpO₂ media, T90) con las representaciones fenotípicas del sistema PAC. La app no busca reemplazar la interpretación clínica del especialista, sino ofrecerle una capa adicional de información estructurada sobre la arquitectura fisiológica nocturna.</w:t>
      </w:r>
    </w:p>
    <w:p>
      <w:pPr>
        <w:pStyle w:val="Heading1"/>
        <w:spacing w:after="120" w:before="360"/>
      </w:pPr>
      <w:r>
        <w:rPr>
          <w:rFonts w:ascii="Arial" w:cs="Arial" w:eastAsia="Arial" w:hAnsi="Arial"/>
          <w:b/>
          <w:bCs/>
          <w:color w:val="1E3A5F"/>
          <w:sz w:val="28"/>
          <w:szCs w:val="28"/>
        </w:rPr>
        <w:t xml:space="preserve">7.2 Arquitectura del sistema</w:t>
      </w:r>
    </w:p>
    <w:p>
      <w:pPr>
        <w:spacing w:after="160" w:before="0"/>
      </w:pPr>
      <w:r>
        <w:rPr>
          <w:rFonts w:ascii="Arial" w:cs="Arial" w:eastAsia="Arial" w:hAnsi="Arial"/>
          <w:sz w:val="22"/>
          <w:szCs w:val="22"/>
        </w:rPr>
        <w:t xml:space="preserve">La aplicación se construyó sobre Streamlit (Streamlit Inc., 2019), un framework de Python orientado a la construcción de interfaces de datos analíticos. La elección de Streamlit responde a tres factores: (a) permite desarrollar interfaces web sin conocimientos de HTML/CSS, manteniendo el proyecto dentro del ecosistema Python del pipeline; (b) ofrece integración nativa con la biblioteca Plotly utilizada en el análisis; y (c) su modelo de ejecución reactivo —donde cualquier cambio en la interfaz re-ejecuta el script— simplifica el manejo de estado y la invalidación de caché.</w:t>
      </w:r>
    </w:p>
    <w:p>
      <w:pPr>
        <w:spacing w:after="160" w:before="0"/>
      </w:pPr>
      <w:r>
        <w:rPr>
          <w:rFonts w:ascii="Arial" w:cs="Arial" w:eastAsia="Arial" w:hAnsi="Arial"/>
          <w:sz w:val="22"/>
          <w:szCs w:val="22"/>
        </w:rPr>
        <w:t xml:space="preserve">El sistema se organiza en cuatro capas:</w:t>
      </w:r>
    </w:p>
    <w:p>
      <w:pPr>
        <w:pStyle w:val="ListParagraph"/>
        <w:numPr>
          <w:ilvl w:val="0"/>
          <w:numId w:val="2"/>
        </w:numPr>
        <w:spacing w:after="40" w:before="40"/>
      </w:pPr>
      <w:r>
        <w:rPr>
          <w:rFonts w:ascii="Arial" w:cs="Arial" w:eastAsia="Arial" w:hAnsi="Arial"/>
          <w:b/>
          <w:bCs/>
          <w:sz w:val="22"/>
          <w:szCs w:val="22"/>
        </w:rPr>
        <w:t xml:space="preserve">Módulos core (src/pac/): </w:t>
      </w:r>
      <w:r>
        <w:rPr>
          <w:rFonts w:ascii="Arial" w:cs="Arial" w:eastAsia="Arial" w:hAnsi="Arial"/>
          <w:sz w:val="22"/>
          <w:szCs w:val="22"/>
        </w:rPr>
        <w:t xml:space="preserve">contienen los módulos de ingesta, detección de eventos, morfotipos de curva y escalar, construcción de ventanas y asignación de estados. Estos módulos son compartidos con el pipeline de investigación NB01–NB07, garantizando consistencia entre el análisis batch y la aplicación.</w:t>
      </w:r>
    </w:p>
    <w:p>
      <w:pPr>
        <w:pStyle w:val="ListParagraph"/>
        <w:numPr>
          <w:ilvl w:val="0"/>
          <w:numId w:val="2"/>
        </w:numPr>
        <w:spacing w:after="40" w:before="40"/>
      </w:pPr>
      <w:r>
        <w:rPr>
          <w:rFonts w:ascii="Arial" w:cs="Arial" w:eastAsia="Arial" w:hAnsi="Arial"/>
          <w:b/>
          <w:bCs/>
          <w:sz w:val="22"/>
          <w:szCs w:val="22"/>
        </w:rPr>
        <w:t xml:space="preserve">Pipeline de aplicación (app/pipeline.py): </w:t>
      </w:r>
      <w:r>
        <w:rPr>
          <w:rFonts w:ascii="Arial" w:cs="Arial" w:eastAsia="Arial" w:hAnsi="Arial"/>
          <w:sz w:val="22"/>
          <w:szCs w:val="22"/>
        </w:rPr>
        <w:t xml:space="preserve">un orquestador delgado que invoca los módulos core en secuencia, carga los artefactos de modelos entrenados desde models/, y devuelve un diccionario de resultados estructurado al nivel de presentación.</w:t>
      </w:r>
    </w:p>
    <w:p>
      <w:pPr>
        <w:pStyle w:val="ListParagraph"/>
        <w:numPr>
          <w:ilvl w:val="0"/>
          <w:numId w:val="2"/>
        </w:numPr>
        <w:spacing w:after="40" w:before="40"/>
      </w:pPr>
      <w:r>
        <w:rPr>
          <w:rFonts w:ascii="Arial" w:cs="Arial" w:eastAsia="Arial" w:hAnsi="Arial"/>
          <w:b/>
          <w:bCs/>
          <w:sz w:val="22"/>
          <w:szCs w:val="22"/>
        </w:rPr>
        <w:t xml:space="preserve">Capa de presentación (app/app.py): </w:t>
      </w:r>
      <w:r>
        <w:rPr>
          <w:rFonts w:ascii="Arial" w:cs="Arial" w:eastAsia="Arial" w:hAnsi="Arial"/>
          <w:sz w:val="22"/>
          <w:szCs w:val="22"/>
        </w:rPr>
        <w:t xml:space="preserve">la interfaz Streamlit, organizada en cinco pestañas, que consume el diccionario de resultados y construye las visualizaciones interactivas. El archivo declara la constante </w:t>
      </w:r>
      <w:r>
        <w:rPr>
          <w:rFonts w:ascii="Courier New" w:cs="Courier New" w:eastAsia="Courier New" w:hAnsi="Courier New"/>
          <w:color w:val="2D6A4F"/>
          <w:sz w:val="20"/>
          <w:szCs w:val="20"/>
        </w:rPr>
        <w:t xml:space="preserve">_PIPELINE_VERSION = "v2.0"</w:t>
      </w:r>
      <w:r>
        <w:rPr>
          <w:rFonts w:ascii="Arial" w:cs="Arial" w:eastAsia="Arial" w:hAnsi="Arial"/>
          <w:sz w:val="22"/>
          <w:szCs w:val="22"/>
        </w:rPr>
        <w:t xml:space="preserve">, que se usa como clave de caché para que cualquier actualización del pipeline invalide automáticamente los resultados cacheados.</w:t>
      </w:r>
    </w:p>
    <w:p>
      <w:pPr>
        <w:pStyle w:val="ListParagraph"/>
        <w:numPr>
          <w:ilvl w:val="0"/>
          <w:numId w:val="2"/>
        </w:numPr>
        <w:spacing w:after="40" w:before="40"/>
      </w:pPr>
      <w:r>
        <w:rPr>
          <w:rFonts w:ascii="Arial" w:cs="Arial" w:eastAsia="Arial" w:hAnsi="Arial"/>
          <w:b/>
          <w:bCs/>
          <w:sz w:val="22"/>
          <w:szCs w:val="22"/>
        </w:rPr>
        <w:t xml:space="preserve">Artefactos de modelos (models/): </w:t>
      </w:r>
      <w:r>
        <w:rPr>
          <w:rFonts w:ascii="Arial" w:cs="Arial" w:eastAsia="Arial" w:hAnsi="Arial"/>
          <w:sz w:val="22"/>
          <w:szCs w:val="22"/>
        </w:rPr>
        <w:t xml:space="preserve">archivos .pkl y .json que contienen los modelos K-means de morfotipos y estados (NB01, NB04), los modelos LightGBM y regresión logística (NB06–NB07), el modelo de trayectorias nocturnas (NB05), los arrays de percentiles del ARI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w:t>
      </w:r>
      <w:r>
        <w:rPr>
          <w:rFonts w:ascii="Courier New" w:cs="Courier New" w:eastAsia="Courier New" w:hAnsi="Courier New"/>
          <w:color w:val="2D6A4F"/>
          <w:sz w:val="20"/>
          <w:szCs w:val="20"/>
        </w:rPr>
        <w:t xml:space="preserve">ari_mov_gain_sorted.npy</w:t>
      </w:r>
      <w:r>
        <w:rPr>
          <w:rFonts w:ascii="Arial" w:cs="Arial" w:eastAsia="Arial" w:hAnsi="Arial"/>
          <w:sz w:val="22"/>
          <w:szCs w:val="22"/>
        </w:rPr>
        <w:t xml:space="preserve">), y la configuración de features </w:t>
      </w:r>
      <w:r>
        <w:rPr>
          <w:rFonts w:ascii="Courier New" w:cs="Courier New" w:eastAsia="Courier New" w:hAnsi="Courier New"/>
          <w:color w:val="2D6A4F"/>
          <w:sz w:val="20"/>
          <w:szCs w:val="20"/>
        </w:rPr>
        <w:t xml:space="preserve">nb06_config.json</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7.1. Arquitectura de la PAC App. El archivo Excel del SOMNI 6000 es procesado por pipeline.py, que orquesta los módulos de src/pac/ y carga los modelos entrenados. El diccionario de resultados es consumido por app.py para construir las cinco pestañas de visualización.</w:t>
      </w:r>
    </w:p>
    <w:p>
      <w:pPr>
        <w:spacing w:after="160" w:before="0"/>
      </w:pPr>
      <w:r>
        <w:rPr>
          <w:rFonts w:ascii="Arial" w:cs="Arial" w:eastAsia="Arial" w:hAnsi="Arial"/>
          <w:sz w:val="22"/>
          <w:szCs w:val="22"/>
        </w:rPr>
        <w:t xml:space="preserve">El cacheo del pipeline se implementa mediante </w:t>
      </w:r>
      <w:r>
        <w:rPr>
          <w:rFonts w:ascii="Courier New" w:cs="Courier New" w:eastAsia="Courier New" w:hAnsi="Courier New"/>
          <w:color w:val="2D6A4F"/>
          <w:sz w:val="20"/>
          <w:szCs w:val="20"/>
        </w:rPr>
        <w:t xml:space="preserve">@st.cache_data</w:t>
      </w:r>
      <w:r>
        <w:rPr>
          <w:rFonts w:ascii="Arial" w:cs="Arial" w:eastAsia="Arial" w:hAnsi="Arial"/>
          <w:sz w:val="22"/>
          <w:szCs w:val="22"/>
        </w:rPr>
        <w:t xml:space="preserve">, parametrizado por el hash del contenido del archivo cargado y la constante </w:t>
      </w:r>
      <w:r>
        <w:rPr>
          <w:rFonts w:ascii="Courier New" w:cs="Courier New" w:eastAsia="Courier New" w:hAnsi="Courier New"/>
          <w:color w:val="2D6A4F"/>
          <w:sz w:val="20"/>
          <w:szCs w:val="20"/>
        </w:rPr>
        <w:t xml:space="preserve">_PIPELINE_VERSION</w:t>
      </w:r>
      <w:r>
        <w:rPr>
          <w:rFonts w:ascii="Arial" w:cs="Arial" w:eastAsia="Arial" w:hAnsi="Arial"/>
          <w:sz w:val="22"/>
          <w:szCs w:val="22"/>
        </w:rPr>
        <w:t xml:space="preserve">. Esto garantiza que el análisis se ejecute una única vez por archivo, incluso si el usuario navega entre pestañas o modifica controles de la interfaz.</w:t>
      </w:r>
    </w:p>
    <w:p>
      <w:pPr>
        <w:pStyle w:val="Heading1"/>
        <w:spacing w:after="120" w:before="360"/>
      </w:pPr>
      <w:r>
        <w:rPr>
          <w:rFonts w:ascii="Arial" w:cs="Arial" w:eastAsia="Arial" w:hAnsi="Arial"/>
          <w:b/>
          <w:bCs/>
          <w:color w:val="1E3A5F"/>
          <w:sz w:val="28"/>
          <w:szCs w:val="28"/>
        </w:rPr>
        <w:t xml:space="preserve">7.3 Pipeline de procesamiento por noche</w:t>
      </w:r>
    </w:p>
    <w:p>
      <w:pPr>
        <w:spacing w:after="160" w:before="0"/>
      </w:pPr>
      <w:r>
        <w:rPr>
          <w:rFonts w:ascii="Arial" w:cs="Arial" w:eastAsia="Arial" w:hAnsi="Arial"/>
          <w:sz w:val="22"/>
          <w:szCs w:val="22"/>
        </w:rPr>
        <w:t xml:space="preserve">El módulo </w:t>
      </w:r>
      <w:r>
        <w:rPr>
          <w:rFonts w:ascii="Courier New" w:cs="Courier New" w:eastAsia="Courier New" w:hAnsi="Courier New"/>
          <w:color w:val="2D6A4F"/>
          <w:sz w:val="20"/>
          <w:szCs w:val="20"/>
        </w:rPr>
        <w:t xml:space="preserve">pipeline.py</w:t>
      </w:r>
      <w:r>
        <w:rPr>
          <w:rFonts w:ascii="Arial" w:cs="Arial" w:eastAsia="Arial" w:hAnsi="Arial"/>
          <w:sz w:val="22"/>
          <w:szCs w:val="22"/>
        </w:rPr>
        <w:t xml:space="preserve"> implementa el pipeline PAC_v3 como una secuencia de pasos. A diferencia de los cuadernos de investigación, que operan sobre las tablas Gold de la cohorte completa, este módulo parte del archivo Excel crudo del SOMNI 6000 y reconstruye la representación fenotípica en tiempo real. El resultado es un diccionario que expone las siguientes estructuras:</w:t>
      </w:r>
    </w:p>
    <w:p>
      <w:pPr>
        <w:pStyle w:val="ListParagraph"/>
        <w:numPr>
          <w:ilvl w:val="0"/>
          <w:numId w:val="3"/>
        </w:numPr>
        <w:spacing w:after="40" w:before="40"/>
      </w:pPr>
      <w:r>
        <w:rPr>
          <w:rFonts w:ascii="Arial" w:cs="Arial" w:eastAsia="Arial" w:hAnsi="Arial"/>
          <w:b/>
          <w:bCs/>
          <w:sz w:val="22"/>
          <w:szCs w:val="22"/>
        </w:rPr>
        <w:t xml:space="preserve">meta: </w:t>
      </w:r>
      <w:r>
        <w:rPr>
          <w:rFonts w:ascii="Arial" w:cs="Arial" w:eastAsia="Arial" w:hAnsi="Arial"/>
          <w:sz w:val="22"/>
          <w:szCs w:val="22"/>
        </w:rPr>
        <w:t xml:space="preserve">metadatos del examen (user_id, exam_id, fecha, t_start, t_end, duración).</w:t>
      </w:r>
    </w:p>
    <w:p>
      <w:pPr>
        <w:pStyle w:val="ListParagraph"/>
        <w:numPr>
          <w:ilvl w:val="0"/>
          <w:numId w:val="3"/>
        </w:numPr>
        <w:spacing w:after="40" w:before="40"/>
      </w:pPr>
      <w:r>
        <w:rPr>
          <w:rFonts w:ascii="Arial" w:cs="Arial" w:eastAsia="Arial" w:hAnsi="Arial"/>
          <w:b/>
          <w:bCs/>
          <w:sz w:val="22"/>
          <w:szCs w:val="22"/>
        </w:rPr>
        <w:t xml:space="preserve">sig: </w:t>
      </w:r>
      <w:r>
        <w:rPr>
          <w:rFonts w:ascii="Arial" w:cs="Arial" w:eastAsia="Arial" w:hAnsi="Arial"/>
          <w:sz w:val="22"/>
          <w:szCs w:val="22"/>
        </w:rPr>
        <w:t xml:space="preserve">DataFrame con la señal limpia (timestamp, spo2_clean, 1 Hz).</w:t>
      </w:r>
    </w:p>
    <w:p>
      <w:pPr>
        <w:pStyle w:val="ListParagraph"/>
        <w:numPr>
          <w:ilvl w:val="0"/>
          <w:numId w:val="3"/>
        </w:numPr>
        <w:spacing w:after="40" w:before="40"/>
      </w:pPr>
      <w:r>
        <w:rPr>
          <w:rFonts w:ascii="Arial" w:cs="Arial" w:eastAsia="Arial" w:hAnsi="Arial"/>
          <w:b/>
          <w:bCs/>
          <w:sz w:val="22"/>
          <w:szCs w:val="22"/>
        </w:rPr>
        <w:t xml:space="preserve">ev_df: </w:t>
      </w:r>
      <w:r>
        <w:rPr>
          <w:rFonts w:ascii="Arial" w:cs="Arial" w:eastAsia="Arial" w:hAnsi="Arial"/>
          <w:sz w:val="22"/>
          <w:szCs w:val="22"/>
        </w:rPr>
        <w:t xml:space="preserve">DataFrame de eventos —85.277 EDOs del corpus original, reducido a los de la noche procesada— con columnas ts_start, ts_end, duration_s, morphotype_curve (C1–C5), drop_pct, nadir_spo2, baseline_spo2, state_m_label, state_s_label, ird_event (ARI del evento), p_severe, is_severe.</w:t>
      </w:r>
    </w:p>
    <w:p>
      <w:pPr>
        <w:pStyle w:val="ListParagraph"/>
        <w:numPr>
          <w:ilvl w:val="0"/>
          <w:numId w:val="3"/>
        </w:numPr>
        <w:spacing w:after="40" w:before="40"/>
      </w:pPr>
      <w:r>
        <w:rPr>
          <w:rFonts w:ascii="Arial" w:cs="Arial" w:eastAsia="Arial" w:hAnsi="Arial"/>
          <w:b/>
          <w:bCs/>
          <w:sz w:val="22"/>
          <w:szCs w:val="22"/>
        </w:rPr>
        <w:t xml:space="preserve">state_win: </w:t>
      </w:r>
      <w:r>
        <w:rPr>
          <w:rFonts w:ascii="Arial" w:cs="Arial" w:eastAsia="Arial" w:hAnsi="Arial"/>
          <w:sz w:val="22"/>
          <w:szCs w:val="22"/>
        </w:rPr>
        <w:t xml:space="preserve">diccionario keyed por "s", "m", "l" → DataFrames con t_start, t_end, state_label para las tres escalas temporales.</w:t>
      </w:r>
    </w:p>
    <w:p>
      <w:pPr>
        <w:pStyle w:val="ListParagraph"/>
        <w:numPr>
          <w:ilvl w:val="0"/>
          <w:numId w:val="3"/>
        </w:numPr>
        <w:spacing w:after="40" w:before="40"/>
      </w:pPr>
      <w:r>
        <w:rPr>
          <w:rFonts w:ascii="Arial" w:cs="Arial" w:eastAsia="Arial" w:hAnsi="Arial"/>
          <w:b/>
          <w:bCs/>
          <w:sz w:val="22"/>
          <w:szCs w:val="22"/>
        </w:rPr>
        <w:t xml:space="preserve">night_feats: </w:t>
      </w:r>
      <w:r>
        <w:rPr>
          <w:rFonts w:ascii="Arial" w:cs="Arial" w:eastAsia="Arial" w:hAnsi="Arial"/>
          <w:sz w:val="22"/>
          <w:szCs w:val="22"/>
        </w:rPr>
        <w:t xml:space="preserve">diccionario de features nocturnas: ci_s, ci_m, ci_l, mean_ari, pct_severe, entropy_state_m, n_transitions_state_m, frac_state_m_* por estado.</w:t>
      </w:r>
    </w:p>
    <w:p>
      <w:pPr>
        <w:pStyle w:val="ListParagraph"/>
        <w:numPr>
          <w:ilvl w:val="0"/>
          <w:numId w:val="3"/>
        </w:numPr>
        <w:spacing w:after="40" w:before="40"/>
      </w:pPr>
      <w:r>
        <w:rPr>
          <w:rFonts w:ascii="Arial" w:cs="Arial" w:eastAsia="Arial" w:hAnsi="Arial"/>
          <w:b/>
          <w:bCs/>
          <w:sz w:val="22"/>
          <w:szCs w:val="22"/>
        </w:rPr>
        <w:t xml:space="preserve">risk_score, risk_label, p_night, p_sev_mean, traj_name, duration_s: </w:t>
      </w:r>
      <w:r>
        <w:rPr>
          <w:rFonts w:ascii="Arial" w:cs="Arial" w:eastAsia="Arial" w:hAnsi="Arial"/>
          <w:sz w:val="22"/>
          <w:szCs w:val="22"/>
        </w:rPr>
        <w:t xml:space="preserve">métricas de resumen de la noche.</w:t>
      </w:r>
    </w:p>
    <w:p>
      <w:pPr>
        <w:spacing w:after="160" w:before="0"/>
      </w:pPr>
      <w:r>
        <w:rPr>
          <w:rFonts w:ascii="Arial" w:cs="Arial" w:eastAsia="Arial" w:hAnsi="Arial"/>
          <w:sz w:val="22"/>
          <w:szCs w:val="22"/>
        </w:rPr>
        <w:t xml:space="preserve">Es importante señalar que los modelos cargados en la aplicación fueron entrenados en modo LOPO-CV sobre la cohorte estricta de n=8 pacientes (Cap06 §6.8–6.12). Al aplicarlos sobre una noche individual de un nuevo paciente, el Risk Score y las probabilidades de evento reflejan el comportamiento del modelo en esa cohorte de entrenamiento limitada. La generalización a poblaciones distintas requiere validación prospectiva en cohortes independientes (Wasserstein &amp; Lazar, 2016).</w:t>
      </w:r>
    </w:p>
    <w:p>
      <w:pPr>
        <w:pStyle w:val="Heading1"/>
        <w:spacing w:after="120" w:before="360"/>
      </w:pPr>
      <w:r>
        <w:rPr>
          <w:rFonts w:ascii="Arial" w:cs="Arial" w:eastAsia="Arial" w:hAnsi="Arial"/>
          <w:b/>
          <w:bCs/>
          <w:color w:val="1E3A5F"/>
          <w:sz w:val="28"/>
          <w:szCs w:val="28"/>
        </w:rPr>
        <w:t xml:space="preserve">7.4 Interfaz de usuario: cinco pestañas</w:t>
      </w:r>
    </w:p>
    <w:p>
      <w:pPr>
        <w:spacing w:after="160" w:before="0"/>
      </w:pPr>
      <w:r>
        <w:rPr>
          <w:rFonts w:ascii="Arial" w:cs="Arial" w:eastAsia="Arial" w:hAnsi="Arial"/>
          <w:sz w:val="22"/>
          <w:szCs w:val="22"/>
        </w:rPr>
        <w:t xml:space="preserve">La interfaz se organiza en cinco pestañas accesibles desde la barra de navegación superior: 📊 Resumen, 🔵 Eventos, 🔷 Estados PAC, 📈 Historia, 📋 Informe IA. El panel lateral (sidebar) expone los controles globales: cargador de archivo Excel, botón de invalidación de caché y —cuando existe un informe generado— el botón de descarga del informe Word. Un encabezado de paciente —siempre visible sobre las pestañas— muestra los datos de identificación (user_id, exam_id, fecha, horario) y el Risk Score PAC con código de color semafórico.</w:t>
      </w:r>
    </w:p>
    <w:p>
      <w:pPr>
        <w:spacing w:after="200" w:before="40"/>
      </w:pPr>
      <w:r>
        <w:rPr>
          <w:rFonts w:ascii="Arial" w:cs="Arial" w:eastAsia="Arial" w:hAnsi="Arial"/>
          <w:i/>
          <w:iCs/>
          <w:color w:val="6B7280"/>
          <w:sz w:val="20"/>
          <w:szCs w:val="20"/>
        </w:rPr>
        <w:t xml:space="preserve">Figura 7.2. Vista general de la PAC App. El panel lateral expone los controles globales. El encabezado de paciente muestra ID, horario y Risk Score. Las cinco pestañas organizan el análisis de menor a mayor complejidad.</w:t>
      </w:r>
    </w:p>
    <w:p>
      <w:pPr>
        <w:pStyle w:val="Heading2"/>
        <w:spacing w:after="80" w:before="240"/>
      </w:pPr>
      <w:r>
        <w:rPr>
          <w:rFonts w:ascii="Arial" w:cs="Arial" w:eastAsia="Arial" w:hAnsi="Arial"/>
          <w:b/>
          <w:bCs/>
          <w:color w:val="1E3A5F"/>
          <w:sz w:val="24"/>
          <w:szCs w:val="24"/>
        </w:rPr>
        <w:t xml:space="preserve">7.4.1 Pestaña "Resumen"</w:t>
      </w:r>
    </w:p>
    <w:p>
      <w:pPr>
        <w:spacing w:after="160" w:before="0"/>
      </w:pPr>
      <w:r>
        <w:rPr>
          <w:rFonts w:ascii="Arial" w:cs="Arial" w:eastAsia="Arial" w:hAnsi="Arial"/>
          <w:sz w:val="22"/>
          <w:szCs w:val="22"/>
        </w:rPr>
        <w:t xml:space="preserve">La pestaña de resumen contiene dos sub-pestañas: </w:t>
      </w:r>
      <w:r>
        <w:rPr>
          <w:rFonts w:ascii="Arial" w:cs="Arial" w:eastAsia="Arial" w:hAnsi="Arial"/>
          <w:b/>
          <w:bCs/>
          <w:sz w:val="22"/>
          <w:szCs w:val="22"/>
        </w:rPr>
        <w:t xml:space="preserve">Resumen clínico</w:t>
      </w:r>
      <w:r>
        <w:rPr>
          <w:rFonts w:ascii="Arial" w:cs="Arial" w:eastAsia="Arial" w:hAnsi="Arial"/>
          <w:sz w:val="22"/>
          <w:szCs w:val="22"/>
        </w:rPr>
        <w:t xml:space="preserve"> y </w:t>
      </w:r>
      <w:r>
        <w:rPr>
          <w:rFonts w:ascii="Arial" w:cs="Arial" w:eastAsia="Arial" w:hAnsi="Arial"/>
          <w:b/>
          <w:bCs/>
          <w:sz w:val="22"/>
          <w:szCs w:val="22"/>
        </w:rPr>
        <w:t xml:space="preserve">Señal SpO₂</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Resumen clínico</w:t>
      </w:r>
      <w:r>
        <w:rPr>
          <w:rFonts w:ascii="Arial" w:cs="Arial" w:eastAsia="Arial" w:hAnsi="Arial"/>
          <w:sz w:val="22"/>
          <w:szCs w:val="22"/>
        </w:rPr>
        <w:t xml:space="preserve"> ofrece una vista de un vistazo de los hallazgos más relevantes de la noche. Su elemento central es el Risk Score PAC en un indicador tipo velocímetro (gauge, </w:t>
      </w:r>
      <w:r>
        <w:rPr>
          <w:rFonts w:ascii="Courier New" w:cs="Courier New" w:eastAsia="Courier New" w:hAnsi="Courier New"/>
          <w:color w:val="2D6A4F"/>
          <w:sz w:val="20"/>
          <w:szCs w:val="20"/>
        </w:rPr>
        <w:t xml:space="preserve">go.Indicator(mode="gauge+number")</w:t>
      </w:r>
      <w:r>
        <w:rPr>
          <w:rFonts w:ascii="Arial" w:cs="Arial" w:eastAsia="Arial" w:hAnsi="Arial"/>
          <w:sz w:val="22"/>
          <w:szCs w:val="22"/>
        </w:rPr>
        <w:t xml:space="preserve">), con rango 0–100 dividido en tres zonas coloreadas (verde 0–30, amarillo 30–60, rojo 60–100). El gauge se complementa con el nombre de la trayectoria nocturna asignada (Estable-Protector, Carga Intermedia o Carga Hipóxica Alta), mostrada en un recuadro con fondo coloreado.</w:t>
      </w:r>
    </w:p>
    <w:p>
      <w:pPr>
        <w:spacing w:after="160" w:before="0"/>
      </w:pPr>
      <w:r>
        <w:rPr>
          <w:rFonts w:ascii="Arial" w:cs="Arial" w:eastAsia="Arial" w:hAnsi="Arial"/>
          <w:sz w:val="22"/>
          <w:szCs w:val="22"/>
        </w:rPr>
        <w:t xml:space="preserve">Seis métricas clave se despliegan en tarjetas </w:t>
      </w:r>
      <w:r>
        <w:rPr>
          <w:rFonts w:ascii="Courier New" w:cs="Courier New" w:eastAsia="Courier New" w:hAnsi="Courier New"/>
          <w:color w:val="2D6A4F"/>
          <w:sz w:val="20"/>
          <w:szCs w:val="20"/>
        </w:rPr>
        <w:t xml:space="preserve">st.metric</w:t>
      </w:r>
      <w:r>
        <w:rPr>
          <w:rFonts w:ascii="Arial" w:cs="Arial" w:eastAsia="Arial" w:hAnsi="Arial"/>
          <w:sz w:val="22"/>
          <w:szCs w:val="22"/>
        </w:rPr>
        <w:t xml:space="preserve">: (1) EDOs detectados; (2) eventos severos C4+C5; (3) ODI estimado, calculado como </w:t>
      </w:r>
      <w:r>
        <w:rPr>
          <w:rFonts w:ascii="Courier New" w:cs="Courier New" w:eastAsia="Courier New" w:hAnsi="Courier New"/>
          <w:color w:val="2D6A4F"/>
          <w:sz w:val="20"/>
          <w:szCs w:val="20"/>
        </w:rPr>
        <w:t xml:space="preserve">n_events / (duration_s / 3600)</w:t>
      </w:r>
      <w:r>
        <w:rPr>
          <w:rFonts w:ascii="Arial" w:cs="Arial" w:eastAsia="Arial" w:hAnsi="Arial"/>
          <w:sz w:val="22"/>
          <w:szCs w:val="22"/>
        </w:rPr>
        <w:t xml:space="preserve">; (4) P(noche alto riesgo); (5) P̄(evento severo); y (6) T90, calculado sobre la señal limpia como </w:t>
      </w:r>
      <w:r>
        <w:rPr>
          <w:rFonts w:ascii="Courier New" w:cs="Courier New" w:eastAsia="Courier New" w:hAnsi="Courier New"/>
          <w:color w:val="2D6A4F"/>
          <w:sz w:val="20"/>
          <w:szCs w:val="20"/>
        </w:rPr>
        <w:t xml:space="preserve">(spo2_vals &lt; 90).mean() * 100</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Tres mini-tarjetas adicionales exponen ci_m, ARI medio y porcentaje de eventos severos, acompañadas de subtítulos de interpretación dinámica. El subtítulo de ci_m, por ejemplo, distingue cuatro niveles de acoplamiento (≥0.99, &gt;0.7, &gt;0.4, resto); el del ARI distingue reactividad alta (&gt;0.6), normal (&gt;0.4) y baja; el de pct_severe distingue cuatro bandas de severidad (&gt;15%, &gt;10%, ≥6%, &lt;6%). El cómputo del ARI en la app es directo contra los arrays de percentiles del corpus: los archivos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y </w:t>
      </w:r>
      <w:r>
        <w:rPr>
          <w:rFonts w:ascii="Courier New" w:cs="Courier New" w:eastAsia="Courier New" w:hAnsi="Courier New"/>
          <w:color w:val="2D6A4F"/>
          <w:sz w:val="20"/>
          <w:szCs w:val="20"/>
        </w:rPr>
        <w:t xml:space="preserve">ari_mov_gain_sorted.npy</w:t>
      </w:r>
      <w:r>
        <w:rPr>
          <w:rFonts w:ascii="Arial" w:cs="Arial" w:eastAsia="Arial" w:hAnsi="Arial"/>
          <w:sz w:val="22"/>
          <w:szCs w:val="22"/>
        </w:rPr>
        <w:t xml:space="preserve"> cargados desde models/ permiten calcular</w:t>
      </w:r>
      <w:r>
        <w:rPr>
          <w:rFonts w:ascii="Courier New" w:cs="Courier New" w:eastAsia="Courier New" w:hAnsi="Courier New"/>
          <w:color w:val="2D6A4F"/>
          <w:sz w:val="20"/>
          <w:szCs w:val="20"/>
        </w:rPr>
        <w:t xml:space="preserve">P(hr_gain)</w:t>
      </w:r>
      <w:r>
        <w:rPr>
          <w:rFonts w:ascii="Arial" w:cs="Arial" w:eastAsia="Arial" w:hAnsi="Arial"/>
          <w:sz w:val="22"/>
          <w:szCs w:val="22"/>
        </w:rPr>
        <w:t xml:space="preserve"> y </w:t>
      </w:r>
      <w:r>
        <w:rPr>
          <w:rFonts w:ascii="Courier New" w:cs="Courier New" w:eastAsia="Courier New" w:hAnsi="Courier New"/>
          <w:color w:val="2D6A4F"/>
          <w:sz w:val="20"/>
          <w:szCs w:val="20"/>
        </w:rPr>
        <w:t xml:space="preserve">P(mov_gain)</w:t>
      </w:r>
      <w:r>
        <w:rPr>
          <w:rFonts w:ascii="Arial" w:cs="Arial" w:eastAsia="Arial" w:hAnsi="Arial"/>
          <w:sz w:val="22"/>
          <w:szCs w:val="22"/>
        </w:rPr>
        <w:t xml:space="preserve"> mediante </w:t>
      </w:r>
      <w:r>
        <w:rPr>
          <w:rFonts w:ascii="Courier New" w:cs="Courier New" w:eastAsia="Courier New" w:hAnsi="Courier New"/>
          <w:color w:val="2D6A4F"/>
          <w:sz w:val="20"/>
          <w:szCs w:val="20"/>
        </w:rPr>
        <w:t xml:space="preserve">np.searchsorted</w:t>
      </w:r>
      <w:r>
        <w:rPr>
          <w:rFonts w:ascii="Arial" w:cs="Arial" w:eastAsia="Arial" w:hAnsi="Arial"/>
          <w:sz w:val="22"/>
          <w:szCs w:val="22"/>
        </w:rPr>
        <w:t xml:space="preserve">, replicando exactamente la fórmula canónica del ARI (Cap04 §4.3).</w:t>
      </w:r>
    </w:p>
    <w:p>
      <w:pPr>
        <w:spacing w:after="160" w:before="0"/>
      </w:pPr>
      <w:r>
        <w:rPr>
          <w:rFonts w:ascii="Arial" w:cs="Arial" w:eastAsia="Arial" w:hAnsi="Arial"/>
          <w:sz w:val="22"/>
          <w:szCs w:val="22"/>
        </w:rPr>
        <w:t xml:space="preserve">La interfaz incorpora además un bloque de alerta de inconsistencia (</w:t>
      </w:r>
      <w:r>
        <w:rPr>
          <w:rFonts w:ascii="Courier New" w:cs="Courier New" w:eastAsia="Courier New" w:hAnsi="Courier New"/>
          <w:color w:val="2D6A4F"/>
          <w:sz w:val="20"/>
          <w:szCs w:val="20"/>
        </w:rPr>
        <w:t xml:space="preserve">_model_understates</w:t>
      </w:r>
      <w:r>
        <w:rPr>
          <w:rFonts w:ascii="Arial" w:cs="Arial" w:eastAsia="Arial" w:hAnsi="Arial"/>
          <w:sz w:val="22"/>
          <w:szCs w:val="22"/>
        </w:rPr>
        <w:t xml:space="preserve">), que se activa con una advertencia amarilla cuando pct_severe &gt; 10% y risk_score &lt; 60, o cuando p_night &lt; 0.1. Esta alerta busca llamar la atención del clínico sobre situaciones en que los modelos predictivos podrían estar subestimando la carga fenotípica real de la noche.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Señal SpO₂</w:t>
      </w:r>
      <w:r>
        <w:rPr>
          <w:rFonts w:ascii="Arial" w:cs="Arial" w:eastAsia="Arial" w:hAnsi="Arial"/>
          <w:sz w:val="22"/>
          <w:szCs w:val="22"/>
        </w:rPr>
        <w:t xml:space="preserve"> despliega la señal nocturna completa como un gráfico de línea interactivo, submuestreado a un máximo de 5.000 puntos. Sobre la señal se superponen: sombreado de eventos (</w:t>
      </w:r>
      <w:r>
        <w:rPr>
          <w:rFonts w:ascii="Courier New" w:cs="Courier New" w:eastAsia="Courier New" w:hAnsi="Courier New"/>
          <w:color w:val="2D6A4F"/>
          <w:sz w:val="20"/>
          <w:szCs w:val="20"/>
        </w:rPr>
        <w:t xml:space="preserve">add_vrect</w:t>
      </w:r>
      <w:r>
        <w:rPr>
          <w:rFonts w:ascii="Arial" w:cs="Arial" w:eastAsia="Arial" w:hAnsi="Arial"/>
          <w:sz w:val="22"/>
          <w:szCs w:val="22"/>
        </w:rPr>
        <w:t xml:space="preserve">) coloreado por morfotipo C1–C5 con opacidad 0.28 para C4/C5 y 0.11 para C1–C3; y una línea de referencia punteada en 90% (umbral T90). El hover unificado (</w:t>
      </w:r>
      <w:r>
        <w:rPr>
          <w:rFonts w:ascii="Courier New" w:cs="Courier New" w:eastAsia="Courier New" w:hAnsi="Courier New"/>
          <w:color w:val="2D6A4F"/>
          <w:sz w:val="20"/>
          <w:szCs w:val="20"/>
        </w:rPr>
        <w:t xml:space="preserve">hovermode="x unified"</w:t>
      </w:r>
      <w:r>
        <w:rPr>
          <w:rFonts w:ascii="Arial" w:cs="Arial" w:eastAsia="Arial" w:hAnsi="Arial"/>
          <w:sz w:val="22"/>
          <w:szCs w:val="22"/>
        </w:rPr>
        <w:t xml:space="preserve">) permite consultar el valor de SpO₂ en cualquier punto.</w:t>
      </w:r>
    </w:p>
    <w:p>
      <w:pPr>
        <w:spacing w:after="200" w:before="40"/>
      </w:pPr>
      <w:r>
        <w:rPr>
          <w:rFonts w:ascii="Arial" w:cs="Arial" w:eastAsia="Arial" w:hAnsi="Arial"/>
          <w:i/>
          <w:iCs/>
          <w:color w:val="6B7280"/>
          <w:sz w:val="20"/>
          <w:szCs w:val="20"/>
        </w:rPr>
        <w:t xml:space="preserve">Figura 7.3. Sub-pestaña "Resumen clínico". El gauge (Risk Score 0–100), seis KPIs en tarjetas st.metric, la trayectoria nocturna y las mini-tarjetas de ci_m, ARI y pct_severe con captions dinámicas.</w:t>
      </w:r>
    </w:p>
    <w:p>
      <w:pPr>
        <w:pStyle w:val="Heading2"/>
        <w:spacing w:after="80" w:before="240"/>
      </w:pPr>
      <w:r>
        <w:rPr>
          <w:rFonts w:ascii="Arial" w:cs="Arial" w:eastAsia="Arial" w:hAnsi="Arial"/>
          <w:b/>
          <w:bCs/>
          <w:color w:val="1E3A5F"/>
          <w:sz w:val="24"/>
          <w:szCs w:val="24"/>
        </w:rPr>
        <w:t xml:space="preserve">7.4.2 Pestaña "Eventos y Morfotipos"</w:t>
      </w:r>
    </w:p>
    <w:p>
      <w:pPr>
        <w:spacing w:after="160" w:before="0"/>
      </w:pPr>
      <w:r>
        <w:rPr>
          <w:rFonts w:ascii="Arial" w:cs="Arial" w:eastAsia="Arial" w:hAnsi="Arial"/>
          <w:sz w:val="22"/>
          <w:szCs w:val="22"/>
        </w:rPr>
        <w:t xml:space="preserve">Esta pestaña expone el análisis de nivel evento del Cap04 y se organiza en tres sub-pestañas: </w:t>
      </w:r>
      <w:r>
        <w:rPr>
          <w:rFonts w:ascii="Arial" w:cs="Arial" w:eastAsia="Arial" w:hAnsi="Arial"/>
          <w:b/>
          <w:bCs/>
          <w:sz w:val="22"/>
          <w:szCs w:val="22"/>
        </w:rPr>
        <w:t xml:space="preserve">Distribución morfotipos</w:t>
      </w:r>
      <w:r>
        <w:rPr>
          <w:rFonts w:ascii="Arial" w:cs="Arial" w:eastAsia="Arial" w:hAnsi="Arial"/>
          <w:sz w:val="22"/>
          <w:szCs w:val="22"/>
        </w:rPr>
        <w:t xml:space="preserve">, </w:t>
      </w:r>
      <w:r>
        <w:rPr>
          <w:rFonts w:ascii="Arial" w:cs="Arial" w:eastAsia="Arial" w:hAnsi="Arial"/>
          <w:b/>
          <w:bCs/>
          <w:sz w:val="22"/>
          <w:szCs w:val="22"/>
        </w:rPr>
        <w:t xml:space="preserve">Timeline de eventos</w:t>
      </w:r>
      <w:r>
        <w:rPr>
          <w:rFonts w:ascii="Arial" w:cs="Arial" w:eastAsia="Arial" w:hAnsi="Arial"/>
          <w:sz w:val="22"/>
          <w:szCs w:val="22"/>
        </w:rPr>
        <w:t xml:space="preserve">, y </w:t>
      </w:r>
      <w:r>
        <w:rPr>
          <w:rFonts w:ascii="Arial" w:cs="Arial" w:eastAsia="Arial" w:hAnsi="Arial"/>
          <w:b/>
          <w:bCs/>
          <w:sz w:val="22"/>
          <w:szCs w:val="22"/>
        </w:rPr>
        <w:t xml:space="preserve">P(severo) por evento</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 morfotipos</w:t>
      </w:r>
      <w:r>
        <w:rPr>
          <w:rFonts w:ascii="Arial" w:cs="Arial" w:eastAsia="Arial" w:hAnsi="Arial"/>
          <w:sz w:val="22"/>
          <w:szCs w:val="22"/>
        </w:rPr>
        <w:t xml:space="preserve"> presenta, en columnas paralelas: (a) un gráfico de anillo (donut chart, </w:t>
      </w:r>
      <w:r>
        <w:rPr>
          <w:rFonts w:ascii="Courier New" w:cs="Courier New" w:eastAsia="Courier New" w:hAnsi="Courier New"/>
          <w:color w:val="2D6A4F"/>
          <w:sz w:val="20"/>
          <w:szCs w:val="20"/>
        </w:rPr>
        <w:t xml:space="preserve">px.pie(hole=0.48)</w:t>
      </w:r>
      <w:r>
        <w:rPr>
          <w:rFonts w:ascii="Arial" w:cs="Arial" w:eastAsia="Arial" w:hAnsi="Arial"/>
          <w:sz w:val="22"/>
          <w:szCs w:val="22"/>
        </w:rPr>
        <w:t xml:space="preserve">) con la distribución de morfotipos C1–C5, coloreado con la paleta del proyecto (azul → verde → naranja → rojo claro → rojo oscuro); y (b) un box plot de la profundidad de caída de SpO₂ por morfotipo (</w:t>
      </w:r>
      <w:r>
        <w:rPr>
          <w:rFonts w:ascii="Courier New" w:cs="Courier New" w:eastAsia="Courier New" w:hAnsi="Courier New"/>
          <w:color w:val="2D6A4F"/>
          <w:sz w:val="20"/>
          <w:szCs w:val="20"/>
        </w:rPr>
        <w:t xml:space="preserve">px.box(y="drop_pct", points="outliers")</w:t>
      </w:r>
      <w:r>
        <w:rPr>
          <w:rFonts w:ascii="Arial" w:cs="Arial" w:eastAsia="Arial" w:hAnsi="Arial"/>
          <w:sz w:val="22"/>
          <w:szCs w:val="22"/>
        </w:rPr>
        <w:t xml:space="preserve">), ilustrando la progresión de severidad C1→C5 ya caracterizada en Cap04 §4.2. Una tabla de resumen por morfotipo —N, mediana de caída, mediana de duración— complementa los gráficos.</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Timeline de eventos</w:t>
      </w:r>
      <w:r>
        <w:rPr>
          <w:rFonts w:ascii="Arial" w:cs="Arial" w:eastAsia="Arial" w:hAnsi="Arial"/>
          <w:sz w:val="22"/>
          <w:szCs w:val="22"/>
        </w:rPr>
        <w:t xml:space="preserve"> muestra un scatter plot donde el eje horizontal es el horario de la noche, el eje vertical es drop_pct, el color codifica el morfotipo, el tamaño del marcador es proporcional a la duración del evento, y el símbolo (círculo vs. diamante) distingue si el evento fue predicho como severo. El hover expone morfotipo, estado M activo y P(severo).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P(severo) por evento</w:t>
      </w:r>
      <w:r>
        <w:rPr>
          <w:rFonts w:ascii="Arial" w:cs="Arial" w:eastAsia="Arial" w:hAnsi="Arial"/>
          <w:sz w:val="22"/>
          <w:szCs w:val="22"/>
        </w:rPr>
        <w:t xml:space="preserve"> muestra un gráfico de barras con la probabilidad P(severo) predicha por LightGBM para cada evento individual, con una línea de umbral en el punto de corte de Youden optimizado sobre el conjunto LOPO-CV (0.386). Las barras se colorean por morfotipo. Un expander </w:t>
      </w:r>
      <w:r>
        <w:rPr>
          <w:rFonts w:ascii="Courier New" w:cs="Courier New" w:eastAsia="Courier New" w:hAnsi="Courier New"/>
          <w:color w:val="2D6A4F"/>
          <w:sz w:val="20"/>
          <w:szCs w:val="20"/>
        </w:rPr>
        <w:t xml:space="preserve">st.expander</w:t>
      </w:r>
      <w:r>
        <w:rPr>
          <w:rFonts w:ascii="Arial" w:cs="Arial" w:eastAsia="Arial" w:hAnsi="Arial"/>
          <w:sz w:val="22"/>
          <w:szCs w:val="22"/>
        </w:rPr>
        <w:t xml:space="preserve"> al pie de la sub-pestaña despliega la tabla completa de atributos de todos los EDOs (ts_start, ts_end, duración, morfotipo, drop_pct, nadir_spo2, estado M, estado S, ARI del evento, p_severe).</w:t>
      </w:r>
    </w:p>
    <w:p>
      <w:pPr>
        <w:spacing w:after="200" w:before="40"/>
      </w:pPr>
      <w:r>
        <w:rPr>
          <w:rFonts w:ascii="Arial" w:cs="Arial" w:eastAsia="Arial" w:hAnsi="Arial"/>
          <w:i/>
          <w:iCs/>
          <w:color w:val="6B7280"/>
          <w:sz w:val="20"/>
          <w:szCs w:val="20"/>
        </w:rPr>
        <w:t xml:space="preserve">Figura 7.4. Pestaña "Eventos y Morfotipos": distribución de morfotipos C1–C5 (donut + box plot), timeline de eventos coloreados, y barras de P(severo) con umbral de Youden (0.386).</w:t>
      </w:r>
    </w:p>
    <w:p>
      <w:pPr>
        <w:pStyle w:val="Heading2"/>
        <w:spacing w:after="80" w:before="240"/>
      </w:pPr>
      <w:r>
        <w:rPr>
          <w:rFonts w:ascii="Arial" w:cs="Arial" w:eastAsia="Arial" w:hAnsi="Arial"/>
          <w:b/>
          <w:bCs/>
          <w:color w:val="1E3A5F"/>
          <w:sz w:val="24"/>
          <w:szCs w:val="24"/>
        </w:rPr>
        <w:t xml:space="preserve">7.4.3 Pestaña "Estados PAC"</w:t>
      </w:r>
    </w:p>
    <w:p>
      <w:pPr>
        <w:spacing w:after="160" w:before="0"/>
      </w:pPr>
      <w:r>
        <w:rPr>
          <w:rFonts w:ascii="Arial" w:cs="Arial" w:eastAsia="Arial" w:hAnsi="Arial"/>
          <w:sz w:val="22"/>
          <w:szCs w:val="22"/>
        </w:rPr>
        <w:t xml:space="preserve">Esta pestaña corresponde al análisis de nivel noche del Cap05 y se organiza en cuatro sub-pestañas: </w:t>
      </w:r>
      <w:r>
        <w:rPr>
          <w:rFonts w:ascii="Arial" w:cs="Arial" w:eastAsia="Arial" w:hAnsi="Arial"/>
          <w:b/>
          <w:bCs/>
          <w:sz w:val="22"/>
          <w:szCs w:val="22"/>
        </w:rPr>
        <w:t xml:space="preserve">Distribución</w:t>
      </w:r>
      <w:r>
        <w:rPr>
          <w:rFonts w:ascii="Arial" w:cs="Arial" w:eastAsia="Arial" w:hAnsi="Arial"/>
          <w:sz w:val="22"/>
          <w:szCs w:val="22"/>
        </w:rPr>
        <w:t xml:space="preserve">, </w:t>
      </w:r>
      <w:r>
        <w:rPr>
          <w:rFonts w:ascii="Arial" w:cs="Arial" w:eastAsia="Arial" w:hAnsi="Arial"/>
          <w:b/>
          <w:bCs/>
          <w:sz w:val="22"/>
          <w:szCs w:val="22"/>
        </w:rPr>
        <w:t xml:space="preserve">Fracción</w:t>
      </w:r>
      <w:r>
        <w:rPr>
          <w:rFonts w:ascii="Arial" w:cs="Arial" w:eastAsia="Arial" w:hAnsi="Arial"/>
          <w:sz w:val="22"/>
          <w:szCs w:val="22"/>
        </w:rPr>
        <w:t xml:space="preserve">, </w:t>
      </w:r>
      <w:r>
        <w:rPr>
          <w:rFonts w:ascii="Arial" w:cs="Arial" w:eastAsia="Arial" w:hAnsi="Arial"/>
          <w:b/>
          <w:bCs/>
          <w:sz w:val="22"/>
          <w:szCs w:val="22"/>
        </w:rPr>
        <w:t xml:space="preserve">Secuencia</w:t>
      </w:r>
      <w:r>
        <w:rPr>
          <w:rFonts w:ascii="Arial" w:cs="Arial" w:eastAsia="Arial" w:hAnsi="Arial"/>
          <w:sz w:val="22"/>
          <w:szCs w:val="22"/>
        </w:rPr>
        <w:t xml:space="preserve">, y </w:t>
      </w:r>
      <w:r>
        <w:rPr>
          <w:rFonts w:ascii="Arial" w:cs="Arial" w:eastAsia="Arial" w:hAnsi="Arial"/>
          <w:b/>
          <w:bCs/>
          <w:sz w:val="22"/>
          <w:szCs w:val="22"/>
        </w:rPr>
        <w:t xml:space="preserve">Transición</w:t>
      </w:r>
      <w:r>
        <w:rPr>
          <w:rFonts w:ascii="Arial" w:cs="Arial" w:eastAsia="Arial" w:hAnsi="Arial"/>
          <w:sz w:val="22"/>
          <w:szCs w:val="22"/>
        </w:rPr>
        <w:t xml:space="preserve">. Un selector de escala temporal (radio </w:t>
      </w:r>
      <w:r>
        <w:rPr>
          <w:rFonts w:ascii="Courier New" w:cs="Courier New" w:eastAsia="Courier New" w:hAnsi="Courier New"/>
          <w:color w:val="2D6A4F"/>
          <w:sz w:val="20"/>
          <w:szCs w:val="20"/>
        </w:rPr>
        <w:t xml:space="preserve">st.radio</w:t>
      </w:r>
      <w:r>
        <w:rPr>
          <w:rFonts w:ascii="Arial" w:cs="Arial" w:eastAsia="Arial" w:hAnsi="Arial"/>
          <w:sz w:val="22"/>
          <w:szCs w:val="22"/>
        </w:rPr>
        <w:t xml:space="preserve">: "S (30s)", "M (5min)", "L (30min)"), persistido en </w:t>
      </w:r>
      <w:r>
        <w:rPr>
          <w:rFonts w:ascii="Courier New" w:cs="Courier New" w:eastAsia="Courier New" w:hAnsi="Courier New"/>
          <w:color w:val="2D6A4F"/>
          <w:sz w:val="20"/>
          <w:szCs w:val="20"/>
        </w:rPr>
        <w:t xml:space="preserve">st.session_state</w:t>
      </w:r>
      <w:r>
        <w:rPr>
          <w:rFonts w:ascii="Arial" w:cs="Arial" w:eastAsia="Arial" w:hAnsi="Arial"/>
          <w:sz w:val="22"/>
          <w:szCs w:val="22"/>
        </w:rPr>
        <w:t xml:space="preserve">, controla cuál escala se despliega en los sub-tabs de Fracción, Secuencia y Transición.</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w:t>
      </w:r>
      <w:r>
        <w:rPr>
          <w:rFonts w:ascii="Arial" w:cs="Arial" w:eastAsia="Arial" w:hAnsi="Arial"/>
          <w:sz w:val="22"/>
          <w:szCs w:val="22"/>
        </w:rPr>
        <w:t xml:space="preserve"> muestra tres gráficos de barras en paralelo (uno por escala), coloreando en rojo (</w:t>
      </w:r>
      <w:r>
        <w:rPr>
          <w:rFonts w:ascii="Courier New" w:cs="Courier New" w:eastAsia="Courier New" w:hAnsi="Courier New"/>
          <w:color w:val="2D6A4F"/>
          <w:sz w:val="20"/>
          <w:szCs w:val="20"/>
        </w:rPr>
        <w:t xml:space="preserve">#DC2626</w:t>
      </w:r>
      <w:r>
        <w:rPr>
          <w:rFonts w:ascii="Arial" w:cs="Arial" w:eastAsia="Arial" w:hAnsi="Arial"/>
          <w:sz w:val="22"/>
          <w:szCs w:val="22"/>
        </w:rPr>
        <w:t xml:space="preserve">) los estados patológicos —cuya tasa de morfotipos C4+C5 supera la mediana del corpus— y en azul los estados normales. Los estados patológicos definidos en el código son: S2, S4, S6 / M1, M3 / L0, L1 (correspondientes a Cap06 §6.3). Esta disposición permite comparar la arquitectura de estados en las tres resoluciones temporales en una única vista.</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Fracción</w:t>
      </w:r>
      <w:r>
        <w:rPr>
          <w:rFonts w:ascii="Arial" w:cs="Arial" w:eastAsia="Arial" w:hAnsi="Arial"/>
          <w:sz w:val="22"/>
          <w:szCs w:val="22"/>
        </w:rPr>
        <w:t xml:space="preserve"> muestra un único gráfico de barras para la escala seleccionada, con el porcentaje de tiempo en cada estado. Un subtítulo cita los valores de V de Cramér para cada escala (S=0.356, M=0.231, L=0.196), recordando la asociación estadística entre estado activo y morfotipo de evento establecida en Cap06 §6.3.</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Secuencia</w:t>
      </w:r>
      <w:r>
        <w:rPr>
          <w:rFonts w:ascii="Arial" w:cs="Arial" w:eastAsia="Arial" w:hAnsi="Arial"/>
          <w:sz w:val="22"/>
          <w:szCs w:val="22"/>
        </w:rPr>
        <w:t xml:space="preserve"> grafica la evolución del estado activo a lo largo de la noche como una línea de puntos, con marcadores cuadrados coloreados por estado. Permite visualizar la microdinámica (escala S), los patrones de regulación de mediana duración (escala M, mejor predictor de T90) y la arquitectura global (escala L).</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Transición</w:t>
      </w:r>
      <w:r>
        <w:rPr>
          <w:rFonts w:ascii="Arial" w:cs="Arial" w:eastAsia="Arial" w:hAnsi="Arial"/>
          <w:sz w:val="22"/>
          <w:szCs w:val="22"/>
        </w:rPr>
        <w:t xml:space="preserve"> construye la matriz de transición normalizada entre estados consecutivos y la despliega como un heatmap (</w:t>
      </w:r>
      <w:r>
        <w:rPr>
          <w:rFonts w:ascii="Courier New" w:cs="Courier New" w:eastAsia="Courier New" w:hAnsi="Courier New"/>
          <w:color w:val="2D6A4F"/>
          <w:sz w:val="20"/>
          <w:szCs w:val="20"/>
        </w:rPr>
        <w:t xml:space="preserve">px.imshow(..., color_continuous_scale="Blues")</w:t>
      </w:r>
      <w:r>
        <w:rPr>
          <w:rFonts w:ascii="Arial" w:cs="Arial" w:eastAsia="Arial" w:hAnsi="Arial"/>
          <w:sz w:val="22"/>
          <w:szCs w:val="22"/>
        </w:rPr>
        <w:t xml:space="preserve">). El subtítulo recuerda los atractores markovianos del corpus: S1, M0, L3 (Cap06 §6.6).</w:t>
      </w:r>
    </w:p>
    <w:p>
      <w:pPr>
        <w:spacing w:after="200" w:before="40"/>
      </w:pPr>
      <w:r>
        <w:rPr>
          <w:rFonts w:ascii="Arial" w:cs="Arial" w:eastAsia="Arial" w:hAnsi="Arial"/>
          <w:i/>
          <w:iCs/>
          <w:color w:val="6B7280"/>
          <w:sz w:val="20"/>
          <w:szCs w:val="20"/>
        </w:rPr>
        <w:t xml:space="preserve">Figura 7.5. Pestaña "Estados PAC". Distribución en tres escalas (sub-tab Distribución), fracción por estado seleccionado, secuencia temporal y matriz de transición normalizada.</w:t>
      </w:r>
    </w:p>
    <w:p>
      <w:pPr>
        <w:pStyle w:val="Heading2"/>
        <w:spacing w:after="80" w:before="240"/>
      </w:pPr>
      <w:r>
        <w:rPr>
          <w:rFonts w:ascii="Arial" w:cs="Arial" w:eastAsia="Arial" w:hAnsi="Arial"/>
          <w:b/>
          <w:bCs/>
          <w:color w:val="1E3A5F"/>
          <w:sz w:val="24"/>
          <w:szCs w:val="24"/>
        </w:rPr>
        <w:t xml:space="preserve">7.4.4 Pestaña "Historia Nocturna"</w:t>
      </w:r>
    </w:p>
    <w:p>
      <w:pPr>
        <w:spacing w:after="160" w:before="0"/>
      </w:pPr>
      <w:r>
        <w:rPr>
          <w:rFonts w:ascii="Arial" w:cs="Arial" w:eastAsia="Arial" w:hAnsi="Arial"/>
          <w:sz w:val="22"/>
          <w:szCs w:val="22"/>
        </w:rPr>
        <w:t xml:space="preserve">La pestaña de historia nocturna busca integrar las tres capas analíticas —señal fisiológica, eventos y estados— en visualizaciones temporales coherentes. Se organiza en dos sub-pestañas: </w:t>
      </w:r>
      <w:r>
        <w:rPr>
          <w:rFonts w:ascii="Arial" w:cs="Arial" w:eastAsia="Arial" w:hAnsi="Arial"/>
          <w:b/>
          <w:bCs/>
          <w:sz w:val="22"/>
          <w:szCs w:val="22"/>
        </w:rPr>
        <w:t xml:space="preserve">Vista integrada</w:t>
      </w:r>
      <w:r>
        <w:rPr>
          <w:rFonts w:ascii="Arial" w:cs="Arial" w:eastAsia="Arial" w:hAnsi="Arial"/>
          <w:sz w:val="22"/>
          <w:szCs w:val="22"/>
        </w:rPr>
        <w:t xml:space="preserve"> y </w:t>
      </w:r>
      <w:r>
        <w:rPr>
          <w:rFonts w:ascii="Arial" w:cs="Arial" w:eastAsia="Arial" w:hAnsi="Arial"/>
          <w:b/>
          <w:bCs/>
          <w:sz w:val="22"/>
          <w:szCs w:val="22"/>
        </w:rPr>
        <w:t xml:space="preserve">Detalle SpO₂ + features</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Vista integrada</w:t>
      </w:r>
      <w:r>
        <w:rPr>
          <w:rFonts w:ascii="Arial" w:cs="Arial" w:eastAsia="Arial" w:hAnsi="Arial"/>
          <w:sz w:val="22"/>
          <w:szCs w:val="22"/>
        </w:rPr>
        <w:t xml:space="preserve"> despliega cinco métricas de acoplamiento en la parte superior (ci_s, ci_m, ci_l, entropía de estados M, número de transiciones M) y luego el gráfico combinado más informativamente denso de la interfaz. Este gráfico superpone cuatro capas sobre un mismo eje temporal: (a) bandas de fondo coloreadas por estado M activo en cada ventana de 5 minutos, con colores translúcidos por estado; (b) la señal SpO₂ en primer plano, submuestreada a 4.000 puntos; (c) sombreado de EDOs individuales coloreado por morfotipo (opacidad 0.55 para C4/C5, 0.25 para C1–C3); y (d) marcadores triangulares invertidos en el nadir de cada evento severo. Esta representación busca hacer evidente —en un único plano temporal— la co-ocurrencia entre estados M de alto riesgo (M1, M3) y eventos de mayor severidad morfológica, relación cuantificada por el coupling index ci_m en Cap06 §6.4.</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Detalle SpO₂ + features</w:t>
      </w:r>
      <w:r>
        <w:rPr>
          <w:rFonts w:ascii="Arial" w:cs="Arial" w:eastAsia="Arial" w:hAnsi="Arial"/>
          <w:sz w:val="22"/>
          <w:szCs w:val="22"/>
        </w:rPr>
        <w:t xml:space="preserve"> despliega un conjunto de tres sub-gráficos con eje horizontal compartido (</w:t>
      </w:r>
      <w:r>
        <w:rPr>
          <w:rFonts w:ascii="Courier New" w:cs="Courier New" w:eastAsia="Courier New" w:hAnsi="Courier New"/>
          <w:color w:val="2D6A4F"/>
          <w:sz w:val="20"/>
          <w:szCs w:val="20"/>
        </w:rPr>
        <w:t xml:space="preserve">make_subplots(rows=3, shared_xaxes=True)</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Fila 1 (50%): señal SpO₂ con marcadores triangulares en el nadir de eventos severos y línea T90.</w:t>
      </w:r>
    </w:p>
    <w:p>
      <w:pPr>
        <w:pStyle w:val="ListParagraph"/>
        <w:numPr>
          <w:ilvl w:val="0"/>
          <w:numId w:val="3"/>
        </w:numPr>
        <w:spacing w:after="40" w:before="40"/>
      </w:pPr>
      <w:r>
        <w:rPr>
          <w:rFonts w:ascii="Arial" w:cs="Arial" w:eastAsia="Arial" w:hAnsi="Arial"/>
          <w:sz w:val="22"/>
          <w:szCs w:val="22"/>
        </w:rPr>
        <w:t xml:space="preserve">Fila 2 (28%): secuencia del estado M activo como línea+marcadores, coloreada por estado.</w:t>
      </w:r>
    </w:p>
    <w:p>
      <w:pPr>
        <w:pStyle w:val="ListParagraph"/>
        <w:numPr>
          <w:ilvl w:val="0"/>
          <w:numId w:val="3"/>
        </w:numPr>
        <w:spacing w:after="40" w:before="40"/>
      </w:pPr>
      <w:r>
        <w:rPr>
          <w:rFonts w:ascii="Arial" w:cs="Arial" w:eastAsia="Arial" w:hAnsi="Arial"/>
          <w:sz w:val="22"/>
          <w:szCs w:val="22"/>
        </w:rPr>
        <w:t xml:space="preserve">Fila 3 (22%): barras de P(severo) coloreadas por morfotipo, con línea de umbral Youden (0.386).</w:t>
      </w:r>
    </w:p>
    <w:p>
      <w:pPr>
        <w:spacing w:after="160" w:before="0"/>
      </w:pPr>
      <w:r>
        <w:rPr>
          <w:rFonts w:ascii="Arial" w:cs="Arial" w:eastAsia="Arial" w:hAnsi="Arial"/>
          <w:sz w:val="22"/>
          <w:szCs w:val="22"/>
        </w:rPr>
        <w:t xml:space="preserve">Completa la sub-pestaña un gráfico horizontal de features nocturnas (ci_s, ci_m, ci_l, pct_severe, mean_ari, entropy_m) coloreado por valor en escala RdYlGn inversa, y un panel resumen de trayectoria + Risk Score + p_night + p_sev_mean + n_transitions_m.</w:t>
      </w:r>
    </w:p>
    <w:p>
      <w:pPr>
        <w:spacing w:after="200" w:before="40"/>
      </w:pPr>
      <w:r>
        <w:rPr>
          <w:rFonts w:ascii="Arial" w:cs="Arial" w:eastAsia="Arial" w:hAnsi="Arial"/>
          <w:i/>
          <w:iCs/>
          <w:color w:val="6B7280"/>
          <w:sz w:val="20"/>
          <w:szCs w:val="20"/>
        </w:rPr>
        <w:t xml:space="preserve">Figura 7.6. Sub-pestaña "Vista integrada". Las bandas de estado M, la señal SpO₂, los EDOs sombreados por morfotipo y los marcadores de eventos severos se superponen en un único plano temporal.</w:t>
      </w:r>
    </w:p>
    <w:p>
      <w:pPr>
        <w:pStyle w:val="Heading2"/>
        <w:spacing w:after="80" w:before="240"/>
      </w:pPr>
      <w:r>
        <w:rPr>
          <w:rFonts w:ascii="Arial" w:cs="Arial" w:eastAsia="Arial" w:hAnsi="Arial"/>
          <w:b/>
          <w:bCs/>
          <w:color w:val="1E3A5F"/>
          <w:sz w:val="24"/>
          <w:szCs w:val="24"/>
        </w:rPr>
        <w:t xml:space="preserve">7.4.5 Pestaña "Informe IA"</w:t>
      </w:r>
    </w:p>
    <w:p>
      <w:pPr>
        <w:spacing w:after="160" w:before="0"/>
      </w:pPr>
      <w:r>
        <w:rPr>
          <w:rFonts w:ascii="Arial" w:cs="Arial" w:eastAsia="Arial" w:hAnsi="Arial"/>
          <w:sz w:val="22"/>
          <w:szCs w:val="22"/>
        </w:rPr>
        <w:t xml:space="preserve">La quinta pestaña expone el módulo de generación de informes clínicos mediante inteligencia artificial generativa. El usuario selecciona entre dos backends:</w:t>
      </w:r>
    </w:p>
    <w:p>
      <w:pPr>
        <w:pStyle w:val="ListParagraph"/>
        <w:numPr>
          <w:ilvl w:val="0"/>
          <w:numId w:val="3"/>
        </w:numPr>
        <w:spacing w:after="40" w:before="40"/>
      </w:pPr>
      <w:r>
        <w:rPr>
          <w:rFonts w:ascii="Arial" w:cs="Arial" w:eastAsia="Arial" w:hAnsi="Arial"/>
          <w:b/>
          <w:bCs/>
          <w:sz w:val="22"/>
          <w:szCs w:val="22"/>
        </w:rPr>
        <w:t xml:space="preserve">LM Studio (local): </w:t>
      </w:r>
      <w:r>
        <w:rPr>
          <w:rFonts w:ascii="Arial" w:cs="Arial" w:eastAsia="Arial" w:hAnsi="Arial"/>
          <w:sz w:val="22"/>
          <w:szCs w:val="22"/>
        </w:rPr>
        <w:t xml:space="preserve">ejecuta un modelo de lenguaje localmente mediante una API compatible con el estándar OpenAI (</w:t>
      </w:r>
      <w:r>
        <w:rPr>
          <w:rFonts w:ascii="Courier New" w:cs="Courier New" w:eastAsia="Courier New" w:hAnsi="Courier New"/>
          <w:color w:val="2D6A4F"/>
          <w:sz w:val="20"/>
          <w:szCs w:val="20"/>
        </w:rPr>
        <w:t xml:space="preserve">httpx.post(f"{lm_url}/chat/completions")</w:t>
      </w:r>
      <w:r>
        <w:rPr>
          <w:rFonts w:ascii="Arial" w:cs="Arial" w:eastAsia="Arial" w:hAnsi="Arial"/>
          <w:sz w:val="22"/>
          <w:szCs w:val="22"/>
        </w:rPr>
        <w:t xml:space="preserve">). El usuario configura la URL (por defecto </w:t>
      </w:r>
      <w:r>
        <w:rPr>
          <w:rFonts w:ascii="Courier New" w:cs="Courier New" w:eastAsia="Courier New" w:hAnsi="Courier New"/>
          <w:color w:val="2D6A4F"/>
          <w:sz w:val="20"/>
          <w:szCs w:val="20"/>
        </w:rPr>
        <w:t xml:space="preserve">http://localhost:1234/v1</w:t>
      </w:r>
      <w:r>
        <w:rPr>
          <w:rFonts w:ascii="Arial" w:cs="Arial" w:eastAsia="Arial" w:hAnsi="Arial"/>
          <w:sz w:val="22"/>
          <w:szCs w:val="22"/>
        </w:rPr>
        <w:t xml:space="preserve">) y el nombre del modelo. Esta opción preserva la privacidad de los datos clínicos del paciente, al no salir del perímetro institucional.</w:t>
      </w:r>
    </w:p>
    <w:p>
      <w:pPr>
        <w:pStyle w:val="ListParagraph"/>
        <w:numPr>
          <w:ilvl w:val="0"/>
          <w:numId w:val="3"/>
        </w:numPr>
        <w:spacing w:after="40" w:before="40"/>
      </w:pPr>
      <w:r>
        <w:rPr>
          <w:rFonts w:ascii="Arial" w:cs="Arial" w:eastAsia="Arial" w:hAnsi="Arial"/>
          <w:b/>
          <w:bCs/>
          <w:sz w:val="22"/>
          <w:szCs w:val="22"/>
        </w:rPr>
        <w:t xml:space="preserve">Claude API (Anthropic): </w:t>
      </w:r>
      <w:r>
        <w:rPr>
          <w:rFonts w:ascii="Arial" w:cs="Arial" w:eastAsia="Arial" w:hAnsi="Arial"/>
          <w:sz w:val="22"/>
          <w:szCs w:val="22"/>
        </w:rPr>
        <w:t xml:space="preserve">llama a la API de Anthropic mediante </w:t>
      </w:r>
      <w:r>
        <w:rPr>
          <w:rFonts w:ascii="Courier New" w:cs="Courier New" w:eastAsia="Courier New" w:hAnsi="Courier New"/>
          <w:color w:val="2D6A4F"/>
          <w:sz w:val="20"/>
          <w:szCs w:val="20"/>
        </w:rPr>
        <w:t xml:space="preserve">anthropic.Anthropic(api_key=...).messages.create(...)</w:t>
      </w:r>
      <w:r>
        <w:rPr>
          <w:rFonts w:ascii="Arial" w:cs="Arial" w:eastAsia="Arial" w:hAnsi="Arial"/>
          <w:sz w:val="22"/>
          <w:szCs w:val="22"/>
        </w:rPr>
        <w:t xml:space="preserve">. El usuario selecciona el modelo (claude-sonnet-4-6 o claude-haiku-4-5-20251001) e ingresa su API key. Esta opción busca mayor calidad en la generación narrativa a costo de enviar los datos al servicio en la nube.</w:t>
      </w:r>
    </w:p>
    <w:p>
      <w:pPr>
        <w:spacing w:after="160" w:before="0"/>
      </w:pPr>
      <w:r>
        <w:rPr>
          <w:rFonts w:ascii="Arial" w:cs="Arial" w:eastAsia="Arial" w:hAnsi="Arial"/>
          <w:sz w:val="22"/>
          <w:szCs w:val="22"/>
        </w:rPr>
        <w:t xml:space="preserve">El usuario selecciona además el tipo de informe —</w:t>
      </w:r>
      <w:r>
        <w:rPr>
          <w:rFonts w:ascii="Arial" w:cs="Arial" w:eastAsia="Arial" w:hAnsi="Arial"/>
          <w:b/>
          <w:bCs/>
          <w:sz w:val="22"/>
          <w:szCs w:val="22"/>
        </w:rPr>
        <w:t xml:space="preserve">para el especialista</w:t>
      </w:r>
      <w:r>
        <w:rPr>
          <w:rFonts w:ascii="Arial" w:cs="Arial" w:eastAsia="Arial" w:hAnsi="Arial"/>
          <w:sz w:val="22"/>
          <w:szCs w:val="22"/>
        </w:rPr>
        <w:t xml:space="preserve"> (terminología clínico-técnica, 5 secciones: carga de EDOs, estados PAC, acoplamiento, Risk Score, conclusión+recomendaciones) o </w:t>
      </w:r>
      <w:r>
        <w:rPr>
          <w:rFonts w:ascii="Arial" w:cs="Arial" w:eastAsia="Arial" w:hAnsi="Arial"/>
          <w:b/>
          <w:bCs/>
          <w:sz w:val="22"/>
          <w:szCs w:val="22"/>
        </w:rPr>
        <w:t xml:space="preserve">para el paciente</w:t>
      </w:r>
      <w:r>
        <w:rPr>
          <w:rFonts w:ascii="Arial" w:cs="Arial" w:eastAsia="Arial" w:hAnsi="Arial"/>
          <w:sz w:val="22"/>
          <w:szCs w:val="22"/>
        </w:rPr>
        <w:t xml:space="preserve"> (lenguaje accesible, sin jerga técnica, 4 secciones)— y puede agregar instrucciones adicionales mediante un campo de texto libre.</w:t>
      </w:r>
    </w:p>
    <w:p>
      <w:pPr>
        <w:spacing w:after="160" w:before="0"/>
      </w:pPr>
      <w:r>
        <w:rPr>
          <w:rFonts w:ascii="Arial" w:cs="Arial" w:eastAsia="Arial" w:hAnsi="Arial"/>
          <w:sz w:val="22"/>
          <w:szCs w:val="22"/>
        </w:rPr>
        <w:t xml:space="preserve">El bloque de datos enviado al modelo incluye: ID del examen, Risk Score y categoría, ODI estimado, distribución de morfotipos C1–C5, estadísticas de SpO₂ (media, mínimo, T90), distribución de estados M, índices de acoplamiento (ci_s, ci_m, ci_l), trayectoria nocturna, entropía M, número de transiciones M, y el contexto del modelo entrenado (n=8 pacientes, LOPO-CV, AUC 0.878/0.874 de NB07).</w:t>
      </w:r>
    </w:p>
    <w:p>
      <w:pPr>
        <w:spacing w:after="160" w:before="0"/>
      </w:pPr>
      <w:r>
        <w:rPr>
          <w:rFonts w:ascii="Arial" w:cs="Arial" w:eastAsia="Arial" w:hAnsi="Arial"/>
          <w:sz w:val="22"/>
          <w:szCs w:val="22"/>
        </w:rPr>
        <w:t xml:space="preserve">El informe generado se despliega con renderizado Markdown y puede descargarse en formato Word mediante un botón </w:t>
      </w:r>
      <w:r>
        <w:rPr>
          <w:rFonts w:ascii="Courier New" w:cs="Courier New" w:eastAsia="Courier New" w:hAnsi="Courier New"/>
          <w:color w:val="2D6A4F"/>
          <w:sz w:val="20"/>
          <w:szCs w:val="20"/>
        </w:rPr>
        <w:t xml:space="preserve">st.download_button</w:t>
      </w:r>
      <w:r>
        <w:rPr>
          <w:rFonts w:ascii="Arial" w:cs="Arial" w:eastAsia="Arial" w:hAnsi="Arial"/>
          <w:sz w:val="22"/>
          <w:szCs w:val="22"/>
        </w:rPr>
        <w:t xml:space="preserve">. El nombre del archivo sigue el patrón </w:t>
      </w:r>
      <w:r>
        <w:rPr>
          <w:rFonts w:ascii="Courier New" w:cs="Courier New" w:eastAsia="Courier New" w:hAnsi="Courier New"/>
          <w:color w:val="2D6A4F"/>
          <w:sz w:val="20"/>
          <w:szCs w:val="20"/>
        </w:rPr>
        <w:t xml:space="preserve">informe_{tipo}_pac_{exam_id}_{date}.docx</w:t>
      </w:r>
      <w:r>
        <w:rPr>
          <w:rFonts w:ascii="Arial" w:cs="Arial" w:eastAsia="Arial" w:hAnsi="Arial"/>
          <w:sz w:val="22"/>
          <w:szCs w:val="22"/>
        </w:rPr>
        <w:t xml:space="preserve">. El informe generado también se persiste en </w:t>
      </w:r>
      <w:r>
        <w:rPr>
          <w:rFonts w:ascii="Courier New" w:cs="Courier New" w:eastAsia="Courier New" w:hAnsi="Courier New"/>
          <w:color w:val="2D6A4F"/>
          <w:sz w:val="20"/>
          <w:szCs w:val="20"/>
        </w:rPr>
        <w:t xml:space="preserve">st.session_state</w:t>
      </w:r>
      <w:r>
        <w:rPr>
          <w:rFonts w:ascii="Arial" w:cs="Arial" w:eastAsia="Arial" w:hAnsi="Arial"/>
          <w:sz w:val="22"/>
          <w:szCs w:val="22"/>
        </w:rPr>
        <w:t xml:space="preserve"> y es accesible desde el sidebar para descarga posterior en la misma sesión.</w:t>
      </w:r>
    </w:p>
    <w:p>
      <w:pPr>
        <w:spacing w:after="200" w:before="40"/>
      </w:pPr>
      <w:r>
        <w:rPr>
          <w:rFonts w:ascii="Arial" w:cs="Arial" w:eastAsia="Arial" w:hAnsi="Arial"/>
          <w:i/>
          <w:iCs/>
          <w:color w:val="6B7280"/>
          <w:sz w:val="20"/>
          <w:szCs w:val="20"/>
        </w:rPr>
        <w:t xml:space="preserve">Figura 7.7. Pestaña "Informe IA". Selector de backend (LM Studio local vs. Claude API), selector de tipo de informe, campo de instrucciones adicionales y botón de generación. El informe se descarga en formato Word.</w:t>
      </w:r>
    </w:p>
    <w:p>
      <w:pPr>
        <w:pStyle w:val="Heading1"/>
        <w:spacing w:after="120" w:before="360"/>
      </w:pPr>
      <w:r>
        <w:rPr>
          <w:rFonts w:ascii="Arial" w:cs="Arial" w:eastAsia="Arial" w:hAnsi="Arial"/>
          <w:b/>
          <w:bCs/>
          <w:color w:val="1E3A5F"/>
          <w:sz w:val="28"/>
          <w:szCs w:val="28"/>
        </w:rPr>
        <w:t xml:space="preserve">7.5 Módulo de Informe IA: diseño del prompt y consideraciones éticas</w:t>
      </w:r>
    </w:p>
    <w:p>
      <w:pPr>
        <w:pStyle w:val="Heading2"/>
        <w:spacing w:after="80" w:before="240"/>
      </w:pPr>
      <w:r>
        <w:rPr>
          <w:rFonts w:ascii="Arial" w:cs="Arial" w:eastAsia="Arial" w:hAnsi="Arial"/>
          <w:b/>
          <w:bCs/>
          <w:color w:val="1E3A5F"/>
          <w:sz w:val="24"/>
          <w:szCs w:val="24"/>
        </w:rPr>
        <w:t xml:space="preserve">7.5.1 Diseño del prompt</w:t>
      </w:r>
    </w:p>
    <w:p>
      <w:pPr>
        <w:spacing w:after="160" w:before="0"/>
      </w:pPr>
      <w:r>
        <w:rPr>
          <w:rFonts w:ascii="Arial" w:cs="Arial" w:eastAsia="Arial" w:hAnsi="Arial"/>
          <w:sz w:val="22"/>
          <w:szCs w:val="22"/>
        </w:rPr>
        <w:t xml:space="preserve">El diseño del prompt que estructura la generación del informe responde a principios de ingeniería de prompts establecidos para modelos de lenguaje de gran escala (Brown et al., 2020). El prompt incluye: (a) un contexto de rol explícito («Sos un asistente médico especializado en medicina del sueño y análisis de oximetría nocturna»); (b) los datos numéricos de la noche en formato Markdown estructurado; (c) una instrucción de formato precisa (secciones diferenciadas con audiencias específicas); y (d) directivas de estilo —síntesis al final de cada subsección en negrita— que buscan facilitar la lectura clínica rápida.</w:t>
      </w:r>
    </w:p>
    <w:p>
      <w:pPr>
        <w:spacing w:after="160" w:before="0"/>
      </w:pPr>
      <w:r>
        <w:rPr>
          <w:rFonts w:ascii="Arial" w:cs="Arial" w:eastAsia="Arial" w:hAnsi="Arial"/>
          <w:sz w:val="22"/>
          <w:szCs w:val="22"/>
        </w:rPr>
        <w:t xml:space="preserve">El prompt instruye al modelo a generar una interpretación y recomendaciones de seguimiento, sin solicitar diagnósticos. Reconoce explícitamente que los datos provienen de un dispositivo de monitoreo domiciliario y que la interpretación clínica definitiva corresponde al especialista. La temperatura configurada es 0.3 tanto para LM Studio como para la API de Claude, priorizando consistencia sobre variabilidad en la generación narrativa.</w:t>
      </w:r>
    </w:p>
    <w:p>
      <w:pPr>
        <w:pStyle w:val="Heading2"/>
        <w:spacing w:after="80" w:before="240"/>
      </w:pPr>
      <w:r>
        <w:rPr>
          <w:rFonts w:ascii="Arial" w:cs="Arial" w:eastAsia="Arial" w:hAnsi="Arial"/>
          <w:b/>
          <w:bCs/>
          <w:color w:val="1E3A5F"/>
          <w:sz w:val="24"/>
          <w:szCs w:val="24"/>
        </w:rPr>
        <w:t xml:space="preserve">7.5.2 Consideraciones éticas</w:t>
      </w:r>
    </w:p>
    <w:p>
      <w:pPr>
        <w:spacing w:after="160" w:before="0"/>
      </w:pPr>
      <w:r>
        <w:rPr>
          <w:rFonts w:ascii="Arial" w:cs="Arial" w:eastAsia="Arial" w:hAnsi="Arial"/>
          <w:sz w:val="22"/>
          <w:szCs w:val="22"/>
        </w:rPr>
        <w:t xml:space="preserve">El módulo de informe clínico generado por IA plantea tres consideraciones éticas que merecen explicitarse.</w:t>
      </w:r>
    </w:p>
    <w:p>
      <w:pPr>
        <w:spacing w:after="160" w:before="0"/>
      </w:pPr>
      <w:r>
        <w:rPr>
          <w:rFonts w:ascii="Arial" w:cs="Arial" w:eastAsia="Arial" w:hAnsi="Arial"/>
          <w:b/>
          <w:bCs/>
          <w:sz w:val="22"/>
          <w:szCs w:val="22"/>
        </w:rPr>
        <w:t xml:space="preserve">El informe es una ayuda interpretativa, no un diagnóstico clínico. </w:t>
      </w:r>
      <w:r>
        <w:rPr>
          <w:rFonts w:ascii="Arial" w:cs="Arial" w:eastAsia="Arial" w:hAnsi="Arial"/>
          <w:sz w:val="22"/>
          <w:szCs w:val="22"/>
        </w:rPr>
        <w:t xml:space="preserve">El texto generado por el modelo de lenguaje sintetiza los datos numéricos de la noche en lenguaje natural, pero no substituye el juicio del especialista en medicina del sueño ni constituye un diagnóstico formal de SAOS. El prompt incluye el contexto del modelo entrenado (cohorte, AUC, limitaciones) para que el modelo de lenguaje pueda reflejar esas limitaciones en su texto.</w:t>
      </w:r>
    </w:p>
    <w:p>
      <w:pPr>
        <w:spacing w:after="160" w:before="0"/>
      </w:pPr>
      <w:r>
        <w:rPr>
          <w:rFonts w:ascii="Arial" w:cs="Arial" w:eastAsia="Arial" w:hAnsi="Arial"/>
          <w:b/>
          <w:bCs/>
          <w:sz w:val="22"/>
          <w:szCs w:val="22"/>
        </w:rPr>
        <w:t xml:space="preserve">La opción de backend local responde a obligaciones de privacidad. </w:t>
      </w:r>
      <w:r>
        <w:rPr>
          <w:rFonts w:ascii="Arial" w:cs="Arial" w:eastAsia="Arial" w:hAnsi="Arial"/>
          <w:sz w:val="22"/>
          <w:szCs w:val="22"/>
        </w:rPr>
        <w:t xml:space="preserve">Al ejecutarse el modelo de lenguaje en la infraestructura del propio centro médico, los datos del paciente no salen del perímetro institucional. La opción de API en la nube requiere que el operador evalúe la compatibilidad con las normativas de privacidad aplicables a datos de salud en su jurisdicción.</w:t>
      </w:r>
    </w:p>
    <w:p>
      <w:pPr>
        <w:spacing w:after="160" w:before="0"/>
      </w:pPr>
      <w:r>
        <w:rPr>
          <w:rFonts w:ascii="Arial" w:cs="Arial" w:eastAsia="Arial" w:hAnsi="Arial"/>
          <w:b/>
          <w:bCs/>
          <w:sz w:val="22"/>
          <w:szCs w:val="22"/>
        </w:rPr>
        <w:t xml:space="preserve">El modelo de lenguaje no fue ajustado sobre terminología PAC. </w:t>
      </w:r>
      <w:r>
        <w:rPr>
          <w:rFonts w:ascii="Arial" w:cs="Arial" w:eastAsia="Arial" w:hAnsi="Arial"/>
          <w:sz w:val="22"/>
          <w:szCs w:val="22"/>
        </w:rPr>
        <w:t xml:space="preserve">El prompt provee el contexto necesario en cada inferencia (in-context learning), pero la calidad del informe depende de la capacidad de generalización del modelo base. Los informes generados buscan ser revisados por el especialista antes de su incorporación a la historia clínica del paciente.</w:t>
      </w:r>
    </w:p>
    <w:p>
      <w:pPr>
        <w:pStyle w:val="Heading1"/>
        <w:spacing w:after="120" w:before="360"/>
      </w:pPr>
      <w:r>
        <w:rPr>
          <w:rFonts w:ascii="Arial" w:cs="Arial" w:eastAsia="Arial" w:hAnsi="Arial"/>
          <w:b/>
          <w:bCs/>
          <w:color w:val="1E3A5F"/>
          <w:sz w:val="28"/>
          <w:szCs w:val="28"/>
        </w:rPr>
        <w:t xml:space="preserve">7.6 Limitaciones y trabajo futuro</w:t>
      </w:r>
    </w:p>
    <w:p>
      <w:pPr>
        <w:spacing w:after="160" w:before="0"/>
      </w:pPr>
      <w:r>
        <w:rPr>
          <w:rFonts w:ascii="Arial" w:cs="Arial" w:eastAsia="Arial" w:hAnsi="Arial"/>
          <w:sz w:val="22"/>
          <w:szCs w:val="22"/>
        </w:rPr>
        <w:t xml:space="preserve">La PAC App constituye un prototipo funcional orientado a demostrar la viabilidad de la interfaz clínica, no una aplicación lista para uso en producción. Sus limitaciones actuales se agrupan en cuatro dimensiones.</w:t>
      </w:r>
    </w:p>
    <w:p>
      <w:pPr>
        <w:pStyle w:val="Heading2"/>
        <w:spacing w:after="80" w:before="240"/>
      </w:pPr>
      <w:r>
        <w:rPr>
          <w:rFonts w:ascii="Arial" w:cs="Arial" w:eastAsia="Arial" w:hAnsi="Arial"/>
          <w:b/>
          <w:bCs/>
          <w:color w:val="1E3A5F"/>
          <w:sz w:val="24"/>
          <w:szCs w:val="24"/>
        </w:rPr>
        <w:t xml:space="preserve">7.6.1 Limitaciones de los modelos subyacentes</w:t>
      </w:r>
    </w:p>
    <w:p>
      <w:pPr>
        <w:spacing w:after="160" w:before="0"/>
      </w:pPr>
      <w:r>
        <w:rPr>
          <w:rFonts w:ascii="Arial" w:cs="Arial" w:eastAsia="Arial" w:hAnsi="Arial"/>
          <w:sz w:val="22"/>
          <w:szCs w:val="22"/>
        </w:rPr>
        <w:t xml:space="preserve">Los modelos de predicción fueron entrenados sobre n=8 pacientes (cohorte estricta, LOPO-CV). El Risk Score y las probabilidades de evento se calibraron sobre esa cohorte; su comportamiento en poblaciones distintas —especialmente en pacientes con SAOS leve o con perfiles de comorbilidad distintos— podría diferir del observado en validación. Esta limitación es inherente al tamaño de la cohorte piloto y se discute extensamente en Cap06 §6.14.</w:t>
      </w:r>
    </w:p>
    <w:p>
      <w:pPr>
        <w:pStyle w:val="Heading2"/>
        <w:spacing w:after="80" w:before="240"/>
      </w:pPr>
      <w:r>
        <w:rPr>
          <w:rFonts w:ascii="Arial" w:cs="Arial" w:eastAsia="Arial" w:hAnsi="Arial"/>
          <w:b/>
          <w:bCs/>
          <w:color w:val="1E3A5F"/>
          <w:sz w:val="24"/>
          <w:szCs w:val="24"/>
        </w:rPr>
        <w:t xml:space="preserve">7.6.2 Portabilidad del formato de entrada</w:t>
      </w:r>
    </w:p>
    <w:p>
      <w:pPr>
        <w:spacing w:after="160" w:before="0"/>
      </w:pPr>
      <w:r>
        <w:rPr>
          <w:rFonts w:ascii="Arial" w:cs="Arial" w:eastAsia="Arial" w:hAnsi="Arial"/>
          <w:sz w:val="22"/>
          <w:szCs w:val="22"/>
        </w:rPr>
        <w:t xml:space="preserve">El pipeline de ingesta fue diseñado para el formato Excel de tres bloques generado específicamente por el SOMNI 6000 (versión de firmware del protocolo CLP-275001 v1.2). Cualquier cambio en el formato de exportación del dispositivo requeriría adaptar el módulo de ingesta y potencialmente re-entrenar los modelos morfológicos y de estados.</w:t>
      </w:r>
    </w:p>
    <w:p>
      <w:pPr>
        <w:pStyle w:val="Heading2"/>
        <w:spacing w:after="80" w:before="240"/>
      </w:pPr>
      <w:r>
        <w:rPr>
          <w:rFonts w:ascii="Arial" w:cs="Arial" w:eastAsia="Arial" w:hAnsi="Arial"/>
          <w:b/>
          <w:bCs/>
          <w:color w:val="1E3A5F"/>
          <w:sz w:val="24"/>
          <w:szCs w:val="24"/>
        </w:rPr>
        <w:t xml:space="preserve">7.6.3 Ausencia de validación prospectiva clínica</w:t>
      </w:r>
    </w:p>
    <w:p>
      <w:pPr>
        <w:spacing w:after="160" w:before="0"/>
      </w:pPr>
      <w:r>
        <w:rPr>
          <w:rFonts w:ascii="Arial" w:cs="Arial" w:eastAsia="Arial" w:hAnsi="Arial"/>
          <w:sz w:val="22"/>
          <w:szCs w:val="22"/>
        </w:rPr>
        <w:t xml:space="preserve">La app no ha sido evaluada en un entorno clínico real. La validación prospectiva —que requeriría definir métricas de utilidad clínica (tiempo de interpretación, concordancia con PSG, impacto en decisiones terapéuticas), un protocolo de uso y una cohorte de validación independiente— queda como trabajo futuro prioritario. En su estado actual, la aplicación es apropiada para uso en investigación y prototipado clínico.</w:t>
      </w:r>
    </w:p>
    <w:p>
      <w:pPr>
        <w:pStyle w:val="Heading2"/>
        <w:spacing w:after="80" w:before="240"/>
      </w:pPr>
      <w:r>
        <w:rPr>
          <w:rFonts w:ascii="Arial" w:cs="Arial" w:eastAsia="Arial" w:hAnsi="Arial"/>
          <w:b/>
          <w:bCs/>
          <w:color w:val="1E3A5F"/>
          <w:sz w:val="24"/>
          <w:szCs w:val="24"/>
        </w:rPr>
        <w:t xml:space="preserve">7.6.4 Mejoras de interfaz e integración</w:t>
      </w:r>
    </w:p>
    <w:p>
      <w:pPr>
        <w:spacing w:after="160" w:before="0"/>
      </w:pPr>
      <w:r>
        <w:rPr>
          <w:rFonts w:ascii="Arial" w:cs="Arial" w:eastAsia="Arial" w:hAnsi="Arial"/>
          <w:sz w:val="22"/>
          <w:szCs w:val="22"/>
        </w:rPr>
        <w:t xml:space="preserve">Una versión clínica requeriría, entre otras mejoras:</w:t>
      </w:r>
    </w:p>
    <w:p>
      <w:pPr>
        <w:pStyle w:val="ListParagraph"/>
        <w:numPr>
          <w:ilvl w:val="0"/>
          <w:numId w:val="3"/>
        </w:numPr>
        <w:spacing w:after="40" w:before="40"/>
      </w:pPr>
      <w:r>
        <w:rPr>
          <w:rFonts w:ascii="Arial" w:cs="Arial" w:eastAsia="Arial" w:hAnsi="Arial"/>
          <w:sz w:val="22"/>
          <w:szCs w:val="22"/>
        </w:rPr>
        <w:t xml:space="preserve">Diseño de interfaz profesional conforme a estándares de usabilidad médica (ISO 62366, IEC 60601-1-6).</w:t>
      </w:r>
    </w:p>
    <w:p>
      <w:pPr>
        <w:pStyle w:val="ListParagraph"/>
        <w:numPr>
          <w:ilvl w:val="0"/>
          <w:numId w:val="3"/>
        </w:numPr>
        <w:spacing w:after="40" w:before="40"/>
      </w:pPr>
      <w:r>
        <w:rPr>
          <w:rFonts w:ascii="Arial" w:cs="Arial" w:eastAsia="Arial" w:hAnsi="Arial"/>
          <w:sz w:val="22"/>
          <w:szCs w:val="22"/>
        </w:rPr>
        <w:t xml:space="preserve">Manejo robusto de errores y archivos malformados, con mensajes informativos para el usuario no técnico.</w:t>
      </w:r>
    </w:p>
    <w:p>
      <w:pPr>
        <w:pStyle w:val="ListParagraph"/>
        <w:numPr>
          <w:ilvl w:val="0"/>
          <w:numId w:val="3"/>
        </w:numPr>
        <w:spacing w:after="40" w:before="40"/>
      </w:pPr>
      <w:r>
        <w:rPr>
          <w:rFonts w:ascii="Arial" w:cs="Arial" w:eastAsia="Arial" w:hAnsi="Arial"/>
          <w:sz w:val="22"/>
          <w:szCs w:val="22"/>
        </w:rPr>
        <w:t xml:space="preserve">Persistencia de historial longitudinal por paciente: análisis de tendencias multi-noche, evolución del Risk Score entre visitas, comparación de trayectorias nocturnas.</w:t>
      </w:r>
    </w:p>
    <w:p>
      <w:pPr>
        <w:pStyle w:val="ListParagraph"/>
        <w:numPr>
          <w:ilvl w:val="0"/>
          <w:numId w:val="3"/>
        </w:numPr>
        <w:spacing w:after="40" w:before="40"/>
      </w:pPr>
      <w:r>
        <w:rPr>
          <w:rFonts w:ascii="Arial" w:cs="Arial" w:eastAsia="Arial" w:hAnsi="Arial"/>
          <w:sz w:val="22"/>
          <w:szCs w:val="22"/>
        </w:rPr>
        <w:t xml:space="preserve">Integración con sistemas de historia clínica electrónica (HIS/EMR) mediante interfaces estándar (HL7 FHIR).</w:t>
      </w:r>
    </w:p>
    <w:p>
      <w:pPr>
        <w:spacing w:after="160" w:before="0"/>
      </w:pPr>
      <w:r>
        <w:rPr>
          <w:rFonts w:ascii="Arial" w:cs="Arial" w:eastAsia="Arial" w:hAnsi="Arial"/>
          <w:sz w:val="22"/>
          <w:szCs w:val="22"/>
        </w:rPr>
        <w:t xml:space="preserve">La capacidad de predicción prospectiva —anticipar eventos severos con horizonte temporal clínico— no está integrada en la versión actual de la app. El Risk Score calculado en la app es una evaluación retrospectiva de la carga hipóxica nocturna sobre la noche ya registrada. El módulo NB08, desarrollado en el Cap08, aborda específicamente esa limitación.</w:t>
      </w:r>
    </w:p>
    <w:p>
      <w:pPr>
        <w:pStyle w:val="Heading1"/>
        <w:spacing w:after="120" w:before="360"/>
      </w:pPr>
      <w:r>
        <w:rPr>
          <w:rFonts w:ascii="Arial" w:cs="Arial" w:eastAsia="Arial" w:hAnsi="Arial"/>
          <w:b/>
          <w:bCs/>
          <w:color w:val="1E3A5F"/>
          <w:sz w:val="28"/>
          <w:szCs w:val="28"/>
        </w:rPr>
        <w:t xml:space="preserve">7.7 Conclusiones y bridge al Capítulo 8</w:t>
      </w:r>
    </w:p>
    <w:p>
      <w:pPr>
        <w:spacing w:after="160" w:before="0"/>
      </w:pPr>
      <w:r>
        <w:rPr>
          <w:rFonts w:ascii="Arial" w:cs="Arial" w:eastAsia="Arial" w:hAnsi="Arial"/>
          <w:sz w:val="22"/>
          <w:szCs w:val="22"/>
        </w:rPr>
        <w:t xml:space="preserve">La PAC App busca constituir la primera prueba de concepto de que las representaciones desarrolladas en Cap04–06 pueden operar fuera del entorno de investigación y producir valor interpretativo en un flujo clínico individual. Tres aspectos del diseño merecen destacarse.</w:t>
      </w:r>
    </w:p>
    <w:p>
      <w:pPr>
        <w:spacing w:after="160" w:before="0"/>
      </w:pPr>
      <w:r>
        <w:rPr>
          <w:rFonts w:ascii="Arial" w:cs="Arial" w:eastAsia="Arial" w:hAnsi="Arial"/>
          <w:sz w:val="22"/>
          <w:szCs w:val="22"/>
        </w:rPr>
        <w:t xml:space="preserve">Primero, la arquitectura de módulos compartidos entre el pipeline de investigación y la aplicación —ambos consumen los mismos módulos de src/pac/ y los mismos artefactos de modelos— garantiza que los resultados de la app sean consistentes con los resultados publicados en los capítulos de análisis. No existe una implementación paralela de los algoritmos: la app </w:t>
      </w:r>
      <w:r>
        <w:rPr>
          <w:rFonts w:ascii="Arial" w:cs="Arial" w:eastAsia="Arial" w:hAnsi="Arial"/>
          <w:b/>
          <w:bCs/>
          <w:sz w:val="22"/>
          <w:szCs w:val="22"/>
        </w:rPr>
        <w:t xml:space="preserve">es</w:t>
      </w:r>
      <w:r>
        <w:rPr>
          <w:rFonts w:ascii="Arial" w:cs="Arial" w:eastAsia="Arial" w:hAnsi="Arial"/>
          <w:sz w:val="22"/>
          <w:szCs w:val="22"/>
        </w:rPr>
        <w:t xml:space="preserve"> el pipeline.</w:t>
      </w:r>
    </w:p>
    <w:p>
      <w:pPr>
        <w:spacing w:after="160" w:before="0"/>
      </w:pPr>
      <w:r>
        <w:rPr>
          <w:rFonts w:ascii="Arial" w:cs="Arial" w:eastAsia="Arial" w:hAnsi="Arial"/>
          <w:sz w:val="22"/>
          <w:szCs w:val="22"/>
        </w:rPr>
        <w:t xml:space="preserve">Segundo, la interfaz de cinco pestañas respeta una progresión de lo más agregado a lo más granular: desde el Risk Score de un vistazo (Resumen) hasta la exploración del estado M segundo a segundo (Historia Nocturna), pasando por el fenotipado de eventos individuales (Eventos) y la caracterización multiescala de los estados fisiológicos (Estados PAC). Esta progresión busca acomodar distintos niveles de profundidad de análisis según el tiempo disponible y la pregunta clínica del especialista.</w:t>
      </w:r>
    </w:p>
    <w:p>
      <w:pPr>
        <w:spacing w:after="160" w:before="0"/>
      </w:pPr>
      <w:r>
        <w:rPr>
          <w:rFonts w:ascii="Arial" w:cs="Arial" w:eastAsia="Arial" w:hAnsi="Arial"/>
          <w:sz w:val="22"/>
          <w:szCs w:val="22"/>
        </w:rPr>
        <w:t xml:space="preserve">Tercero, el módulo de Informe IA busca reducir la brecha entre la complejidad analítica del sistema y la comunicación clínica cotidiana. La generación de texto en lenguaje natural a partir de datos estructurados representa una forma emergente de interfaz clínica cuya utilidad y riesgos requieren evaluación prospectiva rigurosa.</w:t>
      </w:r>
    </w:p>
    <w:p>
      <w:pPr>
        <w:spacing w:after="160" w:before="0"/>
      </w:pPr>
      <w:r>
        <w:rPr>
          <w:rFonts w:ascii="Arial" w:cs="Arial" w:eastAsia="Arial" w:hAnsi="Arial"/>
          <w:sz w:val="22"/>
          <w:szCs w:val="22"/>
        </w:rPr>
        <w:t xml:space="preserve">El Capítulo 8 extiende el alcance de la PAC App en una dirección que la versión actual no implementa: la predicción </w:t>
      </w:r>
      <w:r>
        <w:rPr>
          <w:rFonts w:ascii="Arial" w:cs="Arial" w:eastAsia="Arial" w:hAnsi="Arial"/>
          <w:b/>
          <w:bCs/>
          <w:sz w:val="22"/>
          <w:szCs w:val="22"/>
        </w:rPr>
        <w:t xml:space="preserve">prospectiva</w:t>
      </w:r>
      <w:r>
        <w:rPr>
          <w:rFonts w:ascii="Arial" w:cs="Arial" w:eastAsia="Arial" w:hAnsi="Arial"/>
          <w:sz w:val="22"/>
          <w:szCs w:val="22"/>
        </w:rPr>
        <w:t xml:space="preserve"> de eventos severos con horizonte temporal clínico explícito (NB08, H∈{2,5,10,15} min). Cap06 estableció que las representaciones PAC contienen la información necesaria; Cap08 busca convertirla en acción anticipatoria.</w:t>
      </w:r>
    </w:p>
    <w:p>
      <w:pPr>
        <w:pStyle w:val="Heading1"/>
        <w:spacing w:after="120" w:before="360"/>
      </w:pPr>
      <w:r>
        <w:rPr>
          <w:rFonts w:ascii="Arial" w:cs="Arial" w:eastAsia="Arial" w:hAnsi="Arial"/>
          <w:b/>
          <w:bCs/>
          <w:color w:val="1E3A5F"/>
          <w:sz w:val="28"/>
          <w:szCs w:val="28"/>
        </w:rPr>
        <w:t xml:space="preserve">Referencias</w:t>
      </w:r>
    </w:p>
    <w:p>
      <w:pPr>
        <w:spacing w:after="160" w:before="0"/>
      </w:pPr>
      <w:r>
        <w:rPr>
          <w:rFonts w:ascii="Arial" w:cs="Arial" w:eastAsia="Arial" w:hAnsi="Arial"/>
          <w:sz w:val="22"/>
          <w:szCs w:val="22"/>
        </w:rPr>
        <w:t xml:space="preserve">Anthropic. (2024). Claude: un asistente de IA por Anthropic. https://www.anthropic.com</w:t>
      </w:r>
    </w:p>
    <w:p>
      <w:pPr>
        <w:spacing w:after="160" w:before="0"/>
      </w:pPr>
      <w:r>
        <w:rPr>
          <w:rFonts w:ascii="Arial" w:cs="Arial" w:eastAsia="Arial" w:hAnsi="Arial"/>
          <w:sz w:val="22"/>
          <w:szCs w:val="22"/>
        </w:rPr>
        <w:t xml:space="preserve">Brown, T. B., Mann, B., Ryder, N., Subbiah, M., Kaplan, J., Dhariwal, P., Neelakantan, A., Shyam, P., Sastry, G., Askell, A., Agarwal, S., Herbert-Voss, A., Krueger, G., Henighan, T., Child, R., Ramesh, A., Ziegler, D. M., Wu, J., Winter, C., … Amodei, D. (2020). Language models are few-shot learners. </w:t>
      </w:r>
      <w:r>
        <w:rPr>
          <w:rFonts w:ascii="Arial" w:cs="Arial" w:eastAsia="Arial" w:hAnsi="Arial"/>
          <w:i/>
          <w:iCs/>
          <w:sz w:val="22"/>
          <w:szCs w:val="22"/>
        </w:rPr>
        <w:t xml:space="preserve">Advances in Neural Information Processing Systems, 33</w:t>
      </w:r>
      <w:r>
        <w:rPr>
          <w:rFonts w:ascii="Arial" w:cs="Arial" w:eastAsia="Arial" w:hAnsi="Arial"/>
          <w:sz w:val="22"/>
          <w:szCs w:val="22"/>
        </w:rPr>
        <w:t xml:space="preserve">, 1877–1901.</w:t>
      </w:r>
    </w:p>
    <w:p>
      <w:pPr>
        <w:spacing w:after="160" w:before="0"/>
      </w:pPr>
      <w:r>
        <w:rPr>
          <w:rFonts w:ascii="Arial" w:cs="Arial" w:eastAsia="Arial" w:hAnsi="Arial"/>
          <w:sz w:val="22"/>
          <w:szCs w:val="22"/>
        </w:rPr>
        <w:t xml:space="preserve">Ke, G., Meng, Q., Finley, T., Wang, T., Chen, W., Ma, W., Ye, Q., &amp; Liu, T.-Y. (2017). LightGBM: a highly efficient gradient boosting decision tree. </w:t>
      </w:r>
      <w:r>
        <w:rPr>
          <w:rFonts w:ascii="Arial" w:cs="Arial" w:eastAsia="Arial" w:hAnsi="Arial"/>
          <w:i/>
          <w:iCs/>
          <w:sz w:val="22"/>
          <w:szCs w:val="22"/>
        </w:rPr>
        <w:t xml:space="preserve">Advances in Neural Information Processing Systems, 30</w:t>
      </w:r>
      <w:r>
        <w:rPr>
          <w:rFonts w:ascii="Arial" w:cs="Arial" w:eastAsia="Arial" w:hAnsi="Arial"/>
          <w:sz w:val="22"/>
          <w:szCs w:val="22"/>
        </w:rPr>
        <w:t xml:space="preserve">, 3146–3154.</w:t>
      </w:r>
    </w:p>
    <w:p>
      <w:pPr>
        <w:spacing w:after="160" w:before="0"/>
      </w:pPr>
      <w:r>
        <w:rPr>
          <w:rFonts w:ascii="Arial" w:cs="Arial" w:eastAsia="Arial" w:hAnsi="Arial"/>
          <w:sz w:val="22"/>
          <w:szCs w:val="22"/>
        </w:rPr>
        <w:t xml:space="preserve">McKinney, W. (2010). Data structures for statistical computing in Python. </w:t>
      </w:r>
      <w:r>
        <w:rPr>
          <w:rFonts w:ascii="Arial" w:cs="Arial" w:eastAsia="Arial" w:hAnsi="Arial"/>
          <w:i/>
          <w:iCs/>
          <w:sz w:val="22"/>
          <w:szCs w:val="22"/>
        </w:rPr>
        <w:t xml:space="preserve">Proceedings of the 9th Python in Science Conference</w:t>
      </w:r>
      <w:r>
        <w:rPr>
          <w:rFonts w:ascii="Arial" w:cs="Arial" w:eastAsia="Arial" w:hAnsi="Arial"/>
          <w:sz w:val="22"/>
          <w:szCs w:val="22"/>
        </w:rPr>
        <w:t xml:space="preserve">, 56–61.</w:t>
      </w:r>
    </w:p>
    <w:p>
      <w:pPr>
        <w:spacing w:after="160" w:before="0"/>
      </w:pPr>
      <w:r>
        <w:rPr>
          <w:rFonts w:ascii="Arial" w:cs="Arial" w:eastAsia="Arial" w:hAnsi="Arial"/>
          <w:sz w:val="22"/>
          <w:szCs w:val="22"/>
        </w:rPr>
        <w:t xml:space="preserve">Pedregosa, F., et al. (2011). Scikit-learn: Machine learning in Python. </w:t>
      </w:r>
      <w:r>
        <w:rPr>
          <w:rFonts w:ascii="Arial" w:cs="Arial" w:eastAsia="Arial" w:hAnsi="Arial"/>
          <w:i/>
          <w:iCs/>
          <w:sz w:val="22"/>
          <w:szCs w:val="22"/>
        </w:rPr>
        <w:t xml:space="preserve">Journal of Machine Learning Research, 12</w:t>
      </w:r>
      <w:r>
        <w:rPr>
          <w:rFonts w:ascii="Arial" w:cs="Arial" w:eastAsia="Arial" w:hAnsi="Arial"/>
          <w:sz w:val="22"/>
          <w:szCs w:val="22"/>
        </w:rPr>
        <w:t xml:space="preserve">, 2825–2830.</w:t>
      </w:r>
    </w:p>
    <w:p>
      <w:pPr>
        <w:spacing w:after="160" w:before="0"/>
      </w:pPr>
      <w:r>
        <w:rPr>
          <w:rFonts w:ascii="Arial" w:cs="Arial" w:eastAsia="Arial" w:hAnsi="Arial"/>
          <w:sz w:val="22"/>
          <w:szCs w:val="22"/>
        </w:rPr>
        <w:t xml:space="preserve">Plotly Technologies Inc. (2015). </w:t>
      </w:r>
      <w:r>
        <w:rPr>
          <w:rFonts w:ascii="Arial" w:cs="Arial" w:eastAsia="Arial" w:hAnsi="Arial"/>
          <w:i/>
          <w:iCs/>
          <w:sz w:val="22"/>
          <w:szCs w:val="22"/>
        </w:rPr>
        <w:t xml:space="preserve">Collaborative data science</w:t>
      </w:r>
      <w:r>
        <w:rPr>
          <w:rFonts w:ascii="Arial" w:cs="Arial" w:eastAsia="Arial" w:hAnsi="Arial"/>
          <w:sz w:val="22"/>
          <w:szCs w:val="22"/>
        </w:rPr>
        <w:t xml:space="preserve">. https://plot.ly</w:t>
      </w:r>
    </w:p>
    <w:p>
      <w:pPr>
        <w:spacing w:after="160" w:before="0"/>
      </w:pPr>
      <w:r>
        <w:rPr>
          <w:rFonts w:ascii="Arial" w:cs="Arial" w:eastAsia="Arial" w:hAnsi="Arial"/>
          <w:sz w:val="22"/>
          <w:szCs w:val="22"/>
        </w:rPr>
        <w:t xml:space="preserve">Streamlit Inc. (2019). </w:t>
      </w:r>
      <w:r>
        <w:rPr>
          <w:rFonts w:ascii="Arial" w:cs="Arial" w:eastAsia="Arial" w:hAnsi="Arial"/>
          <w:i/>
          <w:iCs/>
          <w:sz w:val="22"/>
          <w:szCs w:val="22"/>
        </w:rPr>
        <w:t xml:space="preserve">Streamlit: the fastest way to build and share data apps</w:t>
      </w:r>
      <w:r>
        <w:rPr>
          <w:rFonts w:ascii="Arial" w:cs="Arial" w:eastAsia="Arial" w:hAnsi="Arial"/>
          <w:sz w:val="22"/>
          <w:szCs w:val="22"/>
        </w:rPr>
        <w:t xml:space="preserve">. https://streamlit.io</w:t>
      </w:r>
    </w:p>
    <w:p>
      <w:pPr>
        <w:spacing w:after="160" w:before="0"/>
      </w:pPr>
      <w:r>
        <w:rPr>
          <w:rFonts w:ascii="Arial" w:cs="Arial" w:eastAsia="Arial" w:hAnsi="Arial"/>
          <w:sz w:val="22"/>
          <w:szCs w:val="22"/>
        </w:rPr>
        <w:t xml:space="preserve">Wasserstein, R. L., &amp; Lazar, N. A. (2016). The ASA statement on p-values: context, process, and purpose. </w:t>
      </w:r>
      <w:r>
        <w:rPr>
          <w:rFonts w:ascii="Arial" w:cs="Arial" w:eastAsia="Arial" w:hAnsi="Arial"/>
          <w:i/>
          <w:iCs/>
          <w:sz w:val="22"/>
          <w:szCs w:val="22"/>
        </w:rPr>
        <w:t xml:space="preserve">The American Statistician, 70</w:t>
      </w:r>
      <w:r>
        <w:rPr>
          <w:rFonts w:ascii="Arial" w:cs="Arial" w:eastAsia="Arial" w:hAnsi="Arial"/>
          <w:sz w:val="22"/>
          <w:szCs w:val="22"/>
        </w:rPr>
        <w:t xml:space="preserve">(2), 129–133.</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6" w:space="1"/>
      </w:pBdr>
      <w:jc w:val="right"/>
    </w:pPr>
    <w:r>
      <w:rPr>
        <w:rFonts w:ascii="Arial" w:cs="Arial" w:eastAsia="Arial" w:hAnsi="Arial"/>
        <w:color w:val="6B7280"/>
        <w:sz w:val="18"/>
        <w:szCs w:val="18"/>
      </w:rPr>
      <w:t xml:space="preserve">Roberto Inza · Universidad Austral · 2026 · Pág.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6" w:space="1"/>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7 — Interfaz Clínica Interactiva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2026-05-31T03:34:50.667Z</dcterms:created>
  <dcterms:modified xsi:type="dcterms:W3CDTF">2026-05-31T03:34:50.668Z</dcterms:modified>
</cp:coreProperties>
</file>

<file path=docProps/custom.xml><?xml version="1.0" encoding="utf-8"?>
<Properties xmlns="http://schemas.openxmlformats.org/officeDocument/2006/custom-properties" xmlns:vt="http://schemas.openxmlformats.org/officeDocument/2006/docPropsVTypes"/>
</file>