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4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batch procesamiento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(JavaScript, HTML/CSS); (b) su integración nativa con Plotly —la biblioteca de visualización utilizada en el análisis—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[Captura de pantalla del diagrama de arquitectura pendiente de incorporación; diagrama disponible en el repositorio del proyecto, /docs/arquitectura_app.png.]</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§7.6—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ODI₂ estimado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w:t>
      </w:r>
      <w:r>
        <w:rPr>
          <w:rFonts w:ascii="Arial" w:cs="Arial" w:eastAsia="Arial" w:hAnsi="Arial"/>
          <w:b/>
          <w:bCs/>
          <w:sz w:val="22"/>
          <w:szCs w:val="22"/>
        </w:rPr>
        <w:t xml:space="preserve">ODI₂</w:t>
      </w:r>
      <w:r>
        <w:rPr>
          <w:rFonts w:ascii="Arial" w:cs="Arial" w:eastAsia="Arial" w:hAnsi="Arial"/>
          <w:sz w:val="22"/>
          <w:szCs w:val="22"/>
        </w:rPr>
        <w:t xml:space="preserve"> distingue explícitamente este índice del ODI3 clínico (umbral ≥3pp): el pipeline PAC_v3 detecta EDOs con umbral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El encabezado muestra ID de paciente, ID de examen, horario y Risk Score. Las cinco pestañas organizan el análisis de menor a mayor complejidad. [Captura del prototipo en ejecución local; disponible en el repositorio del proyecto.]</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El gauge se complementa con la trayectoria nocturna asignada (Estable-Protector, Carga Intermedia o Carga Hipóxica Alta), mostrada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(con umbral permisivo ≥2pp, denominado ODI₂ para distinguirlo del ODI3 clínico); P(noche alto riesgo) del modelo de regresión logística; P̄(evento severo) del modelo LightGBM; y T90 calculado sobre la señal limpia.</w:t>
      </w:r>
    </w:p>
    <w:p>
      <w:pPr>
        <w:spacing w:after="160" w:before="0"/>
      </w:pPr>
      <w:r>
        <w:rPr>
          <w:rFonts w:ascii="Arial" w:cs="Arial" w:eastAsia="Arial" w:hAnsi="Arial"/>
          <w:sz w:val="22"/>
          <w:szCs w:val="22"/>
        </w:rPr>
        <w:t xml:space="preserve">Tres mini-tarjetas adicionales exponen ci_m, ARI medio y porcentaje de eventos severos, acompañadas de subtítulos de interpretación dinámica. El ARI por evento se recalcula en tiempo real cargando los arrays de percentiles del corpus desde models/ y aplicando búsqueda binaria —reproduciendo exactamente la fórmula canónica del Cap04 §4.3—. El ci_m genera cuatro niveles de interpretación (≥0.99, &gt;0.7, &gt;0.4, resto); el ARI distingue reactividad alta (&gt;0.6), normal (&gt;0.4) y baja; el pct_severe distingue cuatro bandas de severidad (&gt;15%, &gt;10%, ≥6%, &lt;6%).</w:t>
      </w:r>
    </w:p>
    <w:p>
      <w:pPr>
        <w:spacing w:after="160" w:before="0"/>
      </w:pPr>
      <w:r>
        <w:rPr>
          <w:rFonts w:ascii="Arial" w:cs="Arial" w:eastAsia="Arial" w:hAnsi="Arial"/>
          <w:sz w:val="22"/>
          <w:szCs w:val="22"/>
        </w:rPr>
        <w:t xml:space="preserve">Un bloque de alerta de inconsistencia se activa —con advertencia visual amarilla— cuando el porcentaje de eventos severos supera el 10% y el Risk Score es inferior a 60, o cuando p_night es inferior a 0.1. Esta alerta señala situaciones en que los modelos predictivos podrían estar subestimando la carga fenotípica real, llamando la atención del clínico sobre la necesidad de revisar la exploración manual de las pestañas de detalle.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de interpretación. [Captura pendiente; disponible en repositorio.]</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Una línea de umbral marca el punto de corte de Youden optimizado sobre el conjunto de validación LOPO-CV: 0.386. Las barras se colorean por morfotipo del evento. Un expander al pie de la sub-pestaña despliega la tabla completa de atributos de todos los EDOs, incluyendo ODI₂ por evento, ARI individual y estado M activo.</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de resumen por morfotipo. [Captura pendiente; disponible en repositorio.]</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de la pestaña Estados PAC. Tres gráficos de barras en paralelo (S, M, L), con estados patológicos en rojo. [Captura pendiente; disponible en repositorio.]</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en la parte superior (ci_s, ci_m, ci_l, entropía M, número de transiciones M) y el gráfico más informativamente denso de la interfaz. Este gráfico superpone cuatro capas sobre un mismo eje temporal: (a) bandas de fondo translúcidas coloreadas por estado M activo; (b) la señal SpO₂ en primer plano; (c) sombreado de EDOs individuales coloreado por morfotipo; y (d) marcadores triangulares invertidos en el nadir de cada evento severo. La co-ocurrencia entre estados M de alto riesgo (M1, M3) y eventos de mayor severidad morfológica es la expresión visual del coupling index ci_m cuantificado en Cap06 §6.4.</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secuencia del estado M activo (fila central), y barras de P(severo) con umbral Youden (fila inferior).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Bandas de estado M, señal SpO₂, EDOs coloreados por morfotipo y marcadores de eventos severos superpuestos en un único eje temporal. [Captura pendiente; disponible en repositorio.]</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ejecutado en la infraestructura del centro médico)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y número de transiciones, junto con el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de nombre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tipo de informe y campo de instrucciones. El informe descargable incluye secciones para el especialista y para el paciente. [Captura pendiente; disponible en repositorio.]</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 la cohorte: la noche del paciente Pac145, seleccionada por corresponder a una noche de Carga Hipóxica Alta en el fenotipo de trayectoria (Cap06 §6.7), con Risk Score en zona roja (73/100) y un perfil de coupling index ci_m elevado (0.82).</w:t>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umbral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morfotipo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rojas de estado M1 (activo durante períodos de hipoxemia sostenida) y los sombreados de morfotipos C4/C5 en el frente de la señal. El coupling index ci_m de 0.82 —en la segunda banda de interpretación más alta— es consistente con este patrón.</w:t>
      </w:r>
    </w:p>
    <w:p>
      <w:pPr>
        <w:spacing w:after="160" w:before="0"/>
      </w:pPr>
      <w:r>
        <w:rPr>
          <w:rFonts w:ascii="Arial" w:cs="Arial" w:eastAsia="Arial" w:hAnsi="Arial"/>
          <w:sz w:val="22"/>
          <w:szCs w:val="22"/>
        </w:rPr>
        <w:t xml:space="preserve">El informe generado por el módulo de IA (backend Claude API, modelo claude-sonnet-4-6) produce en la sección para el especialista una síntesis que identifica correctamente el patrón de hipoxemia moderada-severa, la dominancia del estado M1 como contexto fisiológico predominante, y la recomendación de considerar seguimiento con PSG de titulación. La sección para el paciente describe la noche como «una noche con algunos episodios frecuentes de baja de oxígeno en sangre» y explica el puntaje de 73 puntos en términos accesibles.</w:t>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por el modelo de lenguaje son consistentes con el conocimiento del sistema PAC establecido en Cap04–06. La validación formal requiere los protocolos descritos en §7.6.3.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 y de evaluación</w:t>
      </w:r>
    </w:p>
    <w:p>
      <w:pPr>
        <w:spacing w:after="160" w:before="0"/>
      </w:pPr>
      <w:r>
        <w:rPr>
          <w:rFonts w:ascii="Arial" w:cs="Arial" w:eastAsia="Arial" w:hAnsi="Arial"/>
          <w:sz w:val="22"/>
          <w:szCs w:val="22"/>
        </w:rPr>
        <w:t xml:space="preserve">El módulo de informe clínico generado por IA plantea tres dimensiones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DECIDE-AI Framework establece que los sistemas de IA médica en fase piloto deben reportar explícitamente el papel del clínico en la toma de decisión final; en la PAC App, ese papel es preservado mediante el diseño del prompt y la denominación del módulo como «ayuda diagnóstica».</w:t>
      </w:r>
    </w:p>
    <w:p>
      <w:pPr>
        <w:spacing w:after="160" w:before="0"/>
      </w:pPr>
      <w:r>
        <w:rPr>
          <w:rFonts w:ascii="Arial" w:cs="Arial" w:eastAsia="Arial" w:hAnsi="Arial"/>
          <w:b/>
          <w:bCs/>
          <w:sz w:val="22"/>
          <w:szCs w:val="22"/>
        </w:rPr>
        <w:t xml:space="preserve">Privacidad de datos clínicos.</w:t>
      </w:r>
      <w:r>
        <w:rPr>
          <w:rFonts w:ascii="Arial" w:cs="Arial" w:eastAsia="Arial" w:hAnsi="Arial"/>
          <w:sz w:val="22"/>
          <w:szCs w:val="22"/>
        </w:rPr>
        <w:t xml:space="preserve"> 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y las resoluciones de la ANMAT sobre dispositivos de telemedicina.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Los modelos de predicción fueron entrenados sobre n=8 pacientes (cohorte estricta, LOPO-CV). El Risk Score y las probabilidades de evento se calibraron sobre esa cohorte; su comportamiento en poblaciones distintas requiere validación prospectiva. Esta limitación es inherente al tamaño de la cohorte piloto y se discute extensamente en Cap06 §6.14. El marco TRIPOD para la evaluación de modelos de predicción clínica (Collins et al., 2015) establece como requisito mínimo la validación externa antes de la adopción en la práctica; la PAC App en su estado actual no cumple ese requisito.</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 sobre la nueva fuente de señal.</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(proporción de veces que el clínico sigue la recomendación)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2026-05-31T03:41:46.006Z</dcterms:created>
  <dcterms:modified xsi:type="dcterms:W3CDTF">2026-05-31T03:41:46.007Z</dcterms:modified>
</cp:coreProperties>
</file>

<file path=docProps/custom.xml><?xml version="1.0" encoding="utf-8"?>
<Properties xmlns="http://schemas.openxmlformats.org/officeDocument/2006/custom-properties" xmlns:vt="http://schemas.openxmlformats.org/officeDocument/2006/docPropsVTypes"/>
</file>