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sidRPr="00AA4399">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sidRPr="00AA4399">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sidRPr="00AA4399">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sidRPr="00AA4399">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sidRPr="00AA4399">
        <w:rPr>
          <w:rFonts w:asciiTheme="minorHAnsi" w:hAnsiTheme="minorHAnsi"/>
          <w:sz w:val="24"/>
          <w:szCs w:val="24"/>
        </w:rPr>
        <w:t xml:space="preserve">¿puede el sistema anticipar la ocurrencia de un evento severo </w:t>
      </w:r>
      <w:r w:rsidRPr="00AA4399">
        <w:rPr>
          <w:rStyle w:val="Fuerte"/>
          <w:rFonts w:asciiTheme="minorHAnsi" w:hAnsiTheme="minorHAnsi"/>
          <w:sz w:val="24"/>
          <w:szCs w:val="24"/>
        </w:rPr>
        <w:t>(</w:t>
      </w:r>
      <w:r w:rsidRPr="00AA4399">
        <w:rPr>
          <w:rStyle w:val="Fuerte"/>
          <w:rFonts w:asciiTheme="minorHAnsi" w:hAnsiTheme="minorHAnsi"/>
          <w:i/>
          <w:iCs/>
          <w:sz w:val="24"/>
          <w:szCs w:val="24"/>
        </w:rPr>
        <w:t>morfotipos C4+C5 del sistema PAC</w:t>
      </w:r>
      <w:r w:rsidRPr="00AA4399">
        <w:rPr>
          <w:rStyle w:val="Fuerte"/>
          <w:rFonts w:asciiTheme="minorHAnsi" w:hAnsiTheme="minorHAnsi"/>
          <w:sz w:val="24"/>
          <w:szCs w:val="24"/>
        </w:rPr>
        <w:t>)</w:t>
      </w:r>
      <w:r w:rsidRPr="00AA4399">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sidRPr="00AA4399">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sidRPr="00AA4399">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sidRPr="00AA4399">
        <w:rPr>
          <w:rFonts w:asciiTheme="minorHAnsi" w:hAnsiTheme="minorHAnsi"/>
          <w:b/>
          <w:bCs/>
          <w:sz w:val="20"/>
          <w:szCs w:val="20"/>
        </w:rPr>
        <w:t>Tabla 8.1. Comparación de diseño entre NB07 y NB08.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sidRPr="00AA4399">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sidRPr="00AA4399">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sidRPr="00AA4399">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sidRPr="00AA4399">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sidRPr="00AA4399">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sidRPr="00AA4399">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sidRPr="00AA4399">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sidRPr="00AA4399">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sidRPr="00AA4399">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sidRPr="00AA4399">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sidRPr="00AA4399">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sidRPr="00AA4399">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sidRPr="00AA4399">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sidRPr="00AA4399">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sidRPr="00AA4399">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sidRPr="00AA4399">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sidRPr="00AA4399">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sidRPr="00AA4399">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sidRPr="00AA4399">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sidRPr="00AA4399">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sidRPr="00AA4399">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sidRPr="00AA4399">
        <w:rPr>
          <w:rFonts w:asciiTheme="minorHAnsi" w:hAnsiTheme="minorHAnsi"/>
          <w:i/>
          <w:iCs/>
          <w:sz w:val="20"/>
          <w:szCs w:val="20"/>
        </w:rPr>
        <w:t>Nota. La diferencia de AUC (0,905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sidRPr="00AA4399">
        <w:rPr>
          <w:rFonts w:asciiTheme="minorHAnsi" w:hAnsiTheme="minorHAnsi"/>
        </w:rPr>
        <w:lastRenderedPageBreak/>
        <w:t xml:space="preserve">La motivación clínica es específica al dispositivo SOMNI 6000, cuyo estimulador eléctrico transcutáneo requiere un </w:t>
      </w:r>
      <w:r w:rsidRPr="00AA4399">
        <w:rPr>
          <w:rFonts w:asciiTheme="minorHAnsi" w:hAnsiTheme="minorHAnsi"/>
          <w:i/>
          <w:iCs/>
        </w:rPr>
        <w:t>ramp-up</w:t>
      </w:r>
      <w:r w:rsidRPr="00AA4399">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sidRPr="00AA4399">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sidRPr="00AA4399">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sidRPr="00AA4399">
        <w:rPr>
          <w:rFonts w:asciiTheme="minorHAnsi" w:hAnsiTheme="minorHAnsi"/>
          <w:i/>
          <w:iCs/>
        </w:rPr>
        <w:t>y_H</w:t>
      </w:r>
      <w:r w:rsidRPr="00AA4399">
        <w:rPr>
          <w:rFonts w:asciiTheme="minorHAnsi" w:hAnsiTheme="minorHAnsi"/>
        </w:rPr>
        <w:t xml:space="preserve"> referencia únicamente eventos severos futuros al cierre de la ventana. El corpus resultante comprende </w:t>
      </w:r>
      <w:r w:rsidRPr="00AA4399">
        <w:rPr>
          <w:rFonts w:asciiTheme="minorHAnsi" w:hAnsiTheme="minorHAnsi"/>
          <w:i/>
          <w:iCs/>
        </w:rPr>
        <w:t xml:space="preserve">452.955 ventanas × 4 horizontes H </w:t>
      </w:r>
      <w:r w:rsidRPr="00AA4399">
        <w:rPr>
          <w:rFonts w:ascii="Cambria Math" w:hAnsi="Cambria Math" w:cs="Cambria Math"/>
          <w:i/>
          <w:iCs/>
        </w:rPr>
        <w:t>∈</w:t>
      </w:r>
      <w:r w:rsidRPr="00AA4399">
        <w:rPr>
          <w:rFonts w:asciiTheme="minorHAnsi" w:hAnsiTheme="minorHAnsi"/>
          <w:i/>
          <w:iCs/>
        </w:rPr>
        <w:t xml:space="preserve"> {2, 5, 10, 15} min</w:t>
      </w:r>
      <w:r w:rsidRPr="00AA4399">
        <w:rPr>
          <w:rFonts w:asciiTheme="minorHAnsi" w:hAnsiTheme="minorHAnsi"/>
        </w:rPr>
        <w:t xml:space="preserve">; a cada ventana se asigna un target binario </w:t>
      </w:r>
      <w:r w:rsidRPr="00AA4399">
        <w:rPr>
          <w:rFonts w:asciiTheme="minorHAnsi" w:hAnsiTheme="minorHAnsi"/>
          <w:i/>
          <w:iCs/>
        </w:rPr>
        <w:t>y_H = 1</w:t>
      </w:r>
      <w:r w:rsidRPr="00AA4399">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sidRPr="00AA4399">
        <w:rPr>
          <w:rFonts w:asciiTheme="minorHAnsi" w:hAnsiTheme="minorHAnsi"/>
          <w:b/>
          <w:bCs/>
        </w:rPr>
        <w:t>estado PAC multiescala activo</w:t>
      </w:r>
      <w:r w:rsidRPr="00AA4399">
        <w:rPr>
          <w:rFonts w:asciiTheme="minorHAnsi" w:hAnsiTheme="minorHAnsi"/>
        </w:rPr>
        <w:t xml:space="preserve">: los estados S, M y L vigentes al cierre de la ventana, que codifican la condición fisiológica en tres resoluciones temporales simultáneas; (2) </w:t>
      </w:r>
      <w:r w:rsidRPr="00AA4399">
        <w:rPr>
          <w:rFonts w:asciiTheme="minorHAnsi" w:hAnsiTheme="minorHAnsi"/>
          <w:b/>
          <w:bCs/>
        </w:rPr>
        <w:t>posición temporal en la noche</w:t>
      </w:r>
      <w:r w:rsidRPr="00AA4399">
        <w:rPr>
          <w:rFonts w:asciiTheme="minorHAnsi" w:hAnsiTheme="minorHAnsi"/>
        </w:rPr>
        <w:t xml:space="preserve">: fracción 0–1 del registro, que captura el gradiente circadiano de severidad; (3) </w:t>
      </w:r>
      <w:r w:rsidRPr="00AA4399">
        <w:rPr>
          <w:rFonts w:asciiTheme="minorHAnsi" w:hAnsiTheme="minorHAnsi"/>
          <w:b/>
          <w:bCs/>
        </w:rPr>
        <w:t>historial reciente de eventos</w:t>
      </w:r>
      <w:r w:rsidRPr="00AA4399">
        <w:rPr>
          <w:rFonts w:asciiTheme="minorHAnsi" w:hAnsiTheme="minorHAnsi"/>
        </w:rPr>
        <w:t xml:space="preserve">: conteo de eventos totales y severos en los últimos 5 min, y fracción de severos en los últimos 10 min; (4) </w:t>
      </w:r>
      <w:r w:rsidRPr="00AA4399">
        <w:rPr>
          <w:rFonts w:asciiTheme="minorHAnsi" w:hAnsiTheme="minorHAnsi"/>
          <w:b/>
          <w:bCs/>
        </w:rPr>
        <w:t>morfología reciente</w:t>
      </w:r>
      <w:r w:rsidRPr="00AA4399">
        <w:rPr>
          <w:rFonts w:asciiTheme="minorHAnsi" w:hAnsiTheme="minorHAnsi"/>
        </w:rPr>
        <w:t xml:space="preserve">: </w:t>
      </w:r>
      <w:r w:rsidRPr="00AA4399">
        <w:rPr>
          <w:rFonts w:asciiTheme="minorHAnsi" w:hAnsiTheme="minorHAnsi"/>
          <w:i/>
          <w:iCs/>
        </w:rPr>
        <w:t>morph_mean_5min</w:t>
      </w:r>
      <w:r w:rsidRPr="00AA4399">
        <w:rPr>
          <w:rFonts w:asciiTheme="minorHAnsi" w:hAnsiTheme="minorHAnsi"/>
        </w:rPr>
        <w:t>, media del morfotipo de los eventos precedentes; ausente en el 28,7 % de ventanas sin eventos previos e imputada por mediana del corpus; e (5)</w:t>
      </w:r>
      <w:r w:rsidRPr="00AA4399">
        <w:rPr>
          <w:rFonts w:asciiTheme="minorHAnsi" w:hAnsiTheme="minorHAnsi"/>
          <w:b/>
          <w:bCs/>
        </w:rPr>
        <w:t xml:space="preserve"> historial acumulado nocturno</w:t>
      </w:r>
      <w:r w:rsidRPr="00AA4399">
        <w:rPr>
          <w:rFonts w:asciiTheme="minorHAnsi" w:hAnsiTheme="minorHAnsi"/>
        </w:rPr>
        <w:t xml:space="preserve">: </w:t>
      </w:r>
      <w:r w:rsidRPr="00AA4399">
        <w:rPr>
          <w:rFonts w:asciiTheme="minorHAnsi" w:hAnsiTheme="minorHAnsi"/>
          <w:i/>
          <w:iCs/>
        </w:rPr>
        <w:t>ci_sofar</w:t>
      </w:r>
      <w:r w:rsidRPr="00AA4399">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sidRPr="00AA4399">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sidRPr="00AA4399">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sidRPr="00AA4399">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sidRPr="00AA4399">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sidRPr="00AA4399">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sidRPr="00AA4399">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sidRPr="00AA4399">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sidRPr="00AA4399">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sidRPr="00AA4399">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sidRPr="00AA4399">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sidRPr="00AA4399">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sidRPr="00AA4399">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sidRPr="00AA4399">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sidRPr="00AA4399">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sidRPr="00AA4399">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sidRPr="00AA4399">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sidRPr="00AA4399">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sidRPr="00AA4399">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sidRPr="00AA4399">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sidRPr="00AA4399">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sidRPr="00AA4399">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sidRPr="00AA4399">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sidRPr="00AA4399">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sidRPr="00AA4399">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sidRPr="00AA4399">
        <w:rPr>
          <w:rFonts w:asciiTheme="minorHAnsi" w:hAnsiTheme="minorHAnsi"/>
        </w:rPr>
        <w:t>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sidRPr="00AA4399">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sidRPr="00AA4399">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sidRPr="00AA4399">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sidRPr="00AA4399">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sidRPr="00AA4399">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sidRPr="00AA4399">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sidRPr="00AA4399">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sidRPr="00AA4399">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sidRPr="00AA4399">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sidRPr="00AA4399">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sidRPr="00AA4399">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sidRPr="00AA4399">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sidRPr="00AA4399">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sidRPr="00AA4399">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sidRPr="00AA4399">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sidRPr="00AA4399">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sidRPr="00AA4399">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sidRPr="00AA4399">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sidRPr="00AA4399">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sidRPr="00AA4399">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sidRPr="00AA4399">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sidRPr="00AA4399">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sidRPr="00AA4399">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sidRPr="00AA4399">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sidRPr="00AA4399">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sidRPr="00AA4399">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sidRPr="00AA4399">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sidRPr="00AA4399">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sidRPr="00AA4399">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sidRPr="00AA4399">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sidRPr="00AA4399">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sidRPr="00AA4399">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sidRPr="00AA4399">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sidRPr="00AA4399">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sidRPr="00AA4399">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sidRPr="00AA4399">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sidRPr="00AA4399">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sidRPr="00AA4399">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sidRPr="00AA4399">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r>
      <w:r w:rsidRPr="00AA4399">
        <w:rPr>
          <w:rFonts w:asciiTheme="minorHAnsi" w:hAnsiTheme="minorHAnsi"/>
        </w:rPr>
        <w:lastRenderedPageBreak/>
        <w:t>calculado sobre el pool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sidRPr="00AA4399">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sidRPr="00AA4399">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sidRPr="00AA4399">
        <w:rPr>
          <w:rFonts w:asciiTheme="minorHAnsi" w:hAnsiTheme="minorHAnsi"/>
          <w:b/>
          <w:bCs/>
          <w:sz w:val="20"/>
          <w:szCs w:val="20"/>
        </w:rPr>
        <w:t>Tabla 8.4. AUC-ROC y Average Precision por horizonte y modelo — LOPO-CV (NB08,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sidRPr="00AA4399">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sidRPr="00AA4399">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sidRPr="00AA4399">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sidRPr="00AA4399">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sidRPr="00AA4399">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sidRPr="00AA4399">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sidRPr="00AA4399">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sidRPr="00AA4399">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sidRPr="00AA4399">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sidRPr="00AA4399">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sidRPr="00AA4399">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sidRPr="00AA4399">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sidRPr="00AA4399">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sidRPr="00AA4399">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sidRPr="00AA4399">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sidRPr="00AA4399">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sidRPr="00AA4399">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sidRPr="00AA4399">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sidRPr="00AA4399">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sidRPr="00AA4399">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sidRPr="00AA4399">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sidRPr="00AA4399">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sidRPr="00AA4399">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sidRPr="00AA4399">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sidRPr="00AA4399">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sidRPr="00AA4399">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sidRPr="00AA4399">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sidRPr="00AA4399">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sidRPr="00AA4399">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7777777" w:rsidR="00AA4399" w:rsidRPr="00AA4399" w:rsidRDefault="00AA4399" w:rsidP="00AA4399">
      <w:pPr>
        <w:spacing w:after="200"/>
        <w:jc w:val="both"/>
        <w:rPr>
          <w:rFonts w:asciiTheme="minorHAnsi" w:hAnsiTheme="minorHAnsi"/>
          <w:i/>
          <w:iCs/>
          <w:color w:val="747474" w:themeColor="background2" w:themeShade="80"/>
          <w:sz w:val="20"/>
          <w:szCs w:val="20"/>
        </w:rPr>
      </w:pPr>
      <w:r w:rsidRPr="00AA4399">
        <w:rPr>
          <w:rFonts w:asciiTheme="minorHAnsi" w:hAnsiTheme="minorHAnsi"/>
          <w:i/>
          <w:iCs/>
          <w:color w:val="747474" w:themeColor="background2" w:themeShade="80"/>
          <w:sz w:val="20"/>
          <w:szCs w:val="20"/>
        </w:rPr>
        <w:t>Nota. window_position y ci_sofar dominan la importancia en todos los horizontes. La brecha entre LightGBM y regresión logística es mayor en horizontes cortos. Origen: NB08, modelo completo.</w:t>
      </w:r>
    </w:p>
    <w:p w14:paraId="0B107FC7" w14:textId="363020B9" w:rsidR="00AB2979" w:rsidRPr="00AA4399" w:rsidRDefault="009E28F0">
      <w:pPr>
        <w:spacing w:after="200" w:line="360" w:lineRule="auto"/>
        <w:jc w:val="both"/>
        <w:rPr>
          <w:rFonts w:asciiTheme="minorHAnsi" w:hAnsiTheme="minorHAnsi"/>
        </w:rPr>
      </w:pPr>
      <w:r w:rsidRPr="00AA4399">
        <w:rPr>
          <w:rFonts w:asciiTheme="minorHAnsi" w:hAnsiTheme="minorHAnsi"/>
        </w:rPr>
        <w:t>El hallazgo contraintuitivo del Paciente 314 —mayor AUC (0,87) con menor prevalencia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sidRPr="00AA4399">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sidRPr="00AA4399">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77777777" w:rsidR="00074D4B" w:rsidRPr="00AA4399" w:rsidRDefault="00000000">
      <w:pPr>
        <w:spacing w:before="80" w:after="200"/>
        <w:rPr>
          <w:rFonts w:asciiTheme="minorHAnsi" w:hAnsiTheme="minorHAnsi"/>
        </w:rPr>
      </w:pPr>
      <w:r w:rsidRPr="00AA4399">
        <w:rPr>
          <w:rFonts w:asciiTheme="minorHAnsi" w:hAnsiTheme="minorHAnsi"/>
          <w:i/>
          <w:iCs/>
          <w:color w:val="555555"/>
          <w:sz w:val="20"/>
          <w:szCs w:val="20"/>
        </w:rPr>
        <w:t>Nota. Mapa de calor de AUC para los 8 pacientes × 4 horizontes. Todos los AUC &gt; 0,73. El Paciente 314 (mayor AUC, menor prevalencia) ilustra que discriminación y prevalencia son dimensiones ortogonales. Origen: NB08, LOPO-CV.</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sidRPr="00971252">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r>
      <w:r w:rsidRPr="00971252">
        <w:rPr>
          <w:rFonts w:asciiTheme="minorHAnsi" w:hAnsiTheme="minorHAnsi"/>
          <w:b w:val="0"/>
          <w:bCs w:val="0"/>
          <w:sz w:val="24"/>
          <w:szCs w:val="24"/>
        </w:rPr>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sidRPr="00AA4399">
        <w:rPr>
          <w:rFonts w:asciiTheme="minorHAnsi" w:hAnsiTheme="minorHAnsi"/>
        </w:rPr>
        <w:t>8.5  Análisis operacional: horizonte óptimo y umbral de activación</w:t>
      </w:r>
    </w:p>
    <w:p w14:paraId="75809F93" w14:textId="77777777" w:rsidR="00D21A1D" w:rsidRPr="00AA4399" w:rsidRDefault="00000000">
      <w:pPr>
        <w:spacing w:before="200" w:after="60"/>
        <w:rPr>
          <w:rFonts w:asciiTheme="minorHAnsi" w:hAnsiTheme="minorHAnsi"/>
        </w:rPr>
      </w:pPr>
      <w:r w:rsidRPr="00AA4399">
        <w:rPr>
          <w:rFonts w:asciiTheme="minorHAnsi" w:hAnsiTheme="minorHAnsi"/>
          <w:b/>
          <w:bCs/>
          <w:sz w:val="20"/>
          <w:szCs w:val="20"/>
        </w:rPr>
        <w:t>Figura 8.2. Rendimiento discriminativo por horizonte: AUC y AP vs. lead time (NB08, LightGBM LOPO-CV).</w:t>
      </w:r>
    </w:p>
    <w:p w14:paraId="6276C821" w14:textId="77777777" w:rsidR="00D21A1D" w:rsidRPr="00AA4399" w:rsidRDefault="00000000">
      <w:pPr>
        <w:spacing w:after="60"/>
        <w:jc w:val="center"/>
        <w:rPr>
          <w:rFonts w:asciiTheme="minorHAnsi" w:hAnsiTheme="minorHAnsi"/>
        </w:rPr>
      </w:pPr>
      <w:r w:rsidRPr="00AA4399">
        <w:rPr>
          <w:rFonts w:asciiTheme="minorHAnsi" w:hAnsiTheme="minorHAnsi"/>
          <w:noProof/>
        </w:rPr>
        <w:drawing>
          <wp:inline distT="0" distB="0" distL="0" distR="0" wp14:anchorId="584CF030" wp14:editId="1AA7379C">
            <wp:extent cx="5715000" cy="2130245"/>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130245"/>
                    </a:xfrm>
                    <a:prstGeom prst="rect">
                      <a:avLst/>
                    </a:prstGeom>
                  </pic:spPr>
                </pic:pic>
              </a:graphicData>
            </a:graphic>
          </wp:inline>
        </w:drawing>
      </w:r>
    </w:p>
    <w:p w14:paraId="01E89241" w14:textId="77777777" w:rsidR="00D21A1D" w:rsidRPr="00AA4399" w:rsidRDefault="00000000">
      <w:pPr>
        <w:spacing w:before="80" w:after="200"/>
        <w:rPr>
          <w:rFonts w:asciiTheme="minorHAnsi" w:hAnsiTheme="minorHAnsi"/>
        </w:rPr>
      </w:pPr>
      <w:r w:rsidRPr="00AA4399">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central: curvas ROC por horizonte (LOPO-CV, 8 pacientes).</w:t>
      </w:r>
    </w:p>
    <w:p w14:paraId="523F692E" w14:textId="77777777" w:rsidR="00AB2979" w:rsidRPr="00AA4399" w:rsidRDefault="00000000">
      <w:pPr>
        <w:spacing w:after="200" w:line="360" w:lineRule="auto"/>
        <w:jc w:val="both"/>
        <w:rPr>
          <w:rFonts w:asciiTheme="minorHAnsi" w:hAnsiTheme="minorHAnsi"/>
        </w:rPr>
      </w:pPr>
      <w:r w:rsidRPr="00AA4399">
        <w:rPr>
          <w:rFonts w:asciiTheme="minorHAnsi" w:hAnsiTheme="minorHAnsi"/>
        </w:rPr>
        <w:t xml:space="preserve">El horizonte H = 5 min ofrece el mejor balance entre las dimensiones relevantes para uso clínico: sensibilidad del 76 % (detecta 3 de cada 4 eventos severos próximos), especificidad del 74 % y PPV del 20 % (1 de cada 5 alarmas corresponde a un evento real), según la Tabla 8.6. Con H = 2 min la sensibilidad sube al 82 % pero el PPV cae al 9,6 %, lo que implicaría nueve falsas alarmas por cada activación real del estimulador. Una estimación de primer orden —no una simulación validada— sugiere que con prevalencia del 8 % y especificidad del 74 %, el sistema generaría ~20 episodios-alarma por noche, de los cuales ~5 corresponderían a eventos severos reales. Esta carga de alarmas —cada una con una duración máxima equivalente al horizonte H = 5 min— es un parámetro de diseño relevante para la experiencia del paciente y para la tolerabilidad del estimulador; su impacto sobre la arquitectura del sueño constituye una variable primaria a medir en el ensayo clínico planificado en Cap09. Un aspecto epistemológico a precisar: el output de NB08 es un score de riesgo relativo —un ranking de ventanas de mayor a menor probabilidad de evento severo— y no una probabilidad clínica calibrada. La sobreestimación absoluta documentada (~4× con </w:t>
      </w:r>
      <w:r w:rsidRPr="00AA4399">
        <w:rPr>
          <w:rFonts w:asciiTheme="minorHAnsi" w:hAnsiTheme="minorHAnsi"/>
        </w:rPr>
        <w:lastRenderedPageBreak/>
        <w:t>pesos uniformes) implica que el valor numérico del umbral de Youden no equivale a ningún porcentaje de probabilidad clínica; el umbral operacionaliza un corte en el ranking, no una estimación de frecuencia absoluta. Esta distinción es relevante para cualquier interpretación clínica de los resultados.</w:t>
      </w:r>
    </w:p>
    <w:p w14:paraId="65B2F1F0" w14:textId="77777777" w:rsidR="00AB2979" w:rsidRPr="00AA4399" w:rsidRDefault="00000000">
      <w:pPr>
        <w:spacing w:before="200" w:after="60"/>
        <w:rPr>
          <w:rFonts w:asciiTheme="minorHAnsi" w:hAnsiTheme="minorHAnsi"/>
        </w:rPr>
      </w:pPr>
      <w:r w:rsidRPr="00AA4399">
        <w:rPr>
          <w:rFonts w:asciiTheme="minorHAnsi" w:hAnsiTheme="minorHAnsi"/>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sidRPr="00AA4399">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sidRPr="00AA4399">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sidRPr="00AA4399">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sidRPr="00AA4399">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sidRPr="00AA4399">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sidRPr="00AA4399">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sidRPr="00AA4399">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sidRPr="00AA4399">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sidRPr="00AA4399">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sidRPr="00AA4399">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sidRPr="00AA4399">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sidRPr="00AA4399">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sidRPr="00AA4399">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sidRPr="00AA4399">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sidRPr="00AA4399">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sidRPr="00AA4399">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sidRPr="00AA4399">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sidRPr="00AA4399">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sidRPr="00AA4399">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sidRPr="00AA4399">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sidRPr="00AA4399">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sidRPr="00AA4399">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sidRPr="00AA4399">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sidRPr="00AA4399">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sidRPr="00AA4399">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sidRPr="00AA4399">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sidRPr="00AA4399">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sidRPr="00AA4399">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sidRPr="00AA4399">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sidRPr="00AA4399">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sidRPr="00AA4399">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sidRPr="00AA4399">
        <w:rPr>
          <w:rFonts w:ascii="Segoe UI Symbol" w:hAnsi="Segoe UI Symbol" w:cs="Segoe UI Symbol"/>
          <w:i/>
          <w:iCs/>
          <w:color w:val="555555"/>
          <w:sz w:val="20"/>
          <w:szCs w:val="20"/>
        </w:rPr>
        <w:t>▸</w:t>
      </w:r>
      <w:r w:rsidRPr="00AA4399">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14C54F00" w14:textId="77777777" w:rsidR="00AB2979" w:rsidRPr="00AA4399" w:rsidRDefault="00000000">
      <w:pPr>
        <w:pStyle w:val="Ttulo2"/>
        <w:rPr>
          <w:rFonts w:asciiTheme="minorHAnsi" w:hAnsiTheme="minorHAnsi"/>
        </w:rPr>
      </w:pPr>
      <w:r w:rsidRPr="00AA4399">
        <w:rPr>
          <w:rFonts w:asciiTheme="minorHAnsi" w:hAnsiTheme="minorHAnsi"/>
        </w:rPr>
        <w:t>8.6  Implicancias para la estimulación</w:t>
      </w:r>
    </w:p>
    <w:p w14:paraId="707470D0" w14:textId="77777777" w:rsidR="00AB2979" w:rsidRPr="00AA4399" w:rsidRDefault="00000000">
      <w:pPr>
        <w:spacing w:after="200" w:line="360" w:lineRule="auto"/>
        <w:jc w:val="both"/>
        <w:rPr>
          <w:rFonts w:asciiTheme="minorHAnsi" w:hAnsiTheme="minorHAnsi"/>
        </w:rPr>
      </w:pPr>
      <w:r w:rsidRPr="00AA4399">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cadena completa —predicción → decisión → actuación → efecto fisiológico— opera bajo la hipótesis de que el estímulo transcutáneo reduce la probabilidad del evento predicho; NB08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sidRPr="00AA4399">
        <w:rPr>
          <w:rFonts w:asciiTheme="minorHAnsi" w:hAnsiTheme="minorHAnsi"/>
        </w:rPr>
        <w:lastRenderedPageBreak/>
        <w:t>8.7  Limitaciones principales</w:t>
      </w:r>
    </w:p>
    <w:p w14:paraId="59DC2993" w14:textId="77777777" w:rsidR="00AB2979" w:rsidRPr="00AA4399" w:rsidRDefault="00000000">
      <w:pPr>
        <w:spacing w:after="200" w:line="360" w:lineRule="auto"/>
        <w:jc w:val="both"/>
        <w:rPr>
          <w:rFonts w:asciiTheme="minorHAnsi" w:hAnsiTheme="minorHAnsi"/>
        </w:rPr>
      </w:pPr>
      <w:r w:rsidRPr="00AA4399">
        <w:rPr>
          <w:rFonts w:asciiTheme="minorHAnsi" w:hAnsiTheme="minorHAnsi"/>
        </w:rP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 NB08 como prueba de factibilidad analítica, no como sistema listo para uso clínico.</w:t>
      </w:r>
    </w:p>
    <w:p w14:paraId="6E33C7F6" w14:textId="77777777" w:rsidR="00AB2979" w:rsidRPr="00AA4399" w:rsidRDefault="00000000">
      <w:pPr>
        <w:pStyle w:val="Ttulo2"/>
        <w:rPr>
          <w:rFonts w:asciiTheme="minorHAnsi" w:hAnsiTheme="minorHAnsi"/>
        </w:rPr>
      </w:pPr>
      <w:r w:rsidRPr="00AA4399">
        <w:rPr>
          <w:rFonts w:asciiTheme="minorHAnsi" w:hAnsiTheme="minorHAnsi"/>
        </w:rPr>
        <w:t>8.8  Conclusión</w:t>
      </w:r>
    </w:p>
    <w:p w14:paraId="538B2738" w14:textId="77777777" w:rsidR="00AB2979" w:rsidRPr="00AA4399" w:rsidRDefault="00000000">
      <w:pPr>
        <w:spacing w:after="200" w:line="360" w:lineRule="auto"/>
        <w:jc w:val="both"/>
        <w:rPr>
          <w:rFonts w:asciiTheme="minorHAnsi" w:hAnsiTheme="minorHAnsi"/>
        </w:rPr>
      </w:pPr>
      <w:r w:rsidRPr="00AA4399">
        <w:rPr>
          <w:rFonts w:asciiTheme="minorHAnsi" w:hAnsiTheme="minorHAnsi"/>
        </w:rPr>
        <w:t>El módulo NB08 cierra el arco analítico del Proyecto PAC. Los resultados del módulo NB08 sugieren una respuesta afirmativa con matices importantes: el sistema PAC podría anticipar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14:paraId="1C6C7D1E" w14:textId="77777777" w:rsidR="00AB2979" w:rsidRPr="00AA4399" w:rsidRDefault="00000000">
      <w:pPr>
        <w:spacing w:after="200" w:line="360" w:lineRule="auto"/>
        <w:jc w:val="both"/>
        <w:rPr>
          <w:rFonts w:asciiTheme="minorHAnsi" w:hAnsiTheme="minorHAnsi"/>
        </w:rPr>
      </w:pPr>
      <w:r w:rsidRPr="00AA4399">
        <w:rPr>
          <w:rFonts w:asciiTheme="minorHAnsi" w:hAnsiTheme="minorHAnsi"/>
        </w:rPr>
        <w:t xml:space="preserve">La mayor barrera para la traslación clínica no es el rendimiento discriminativo —AUC = 0,821 es sólido para datos de oximetría domiciliaria sin PSG— sino la heterogeneidad inter-paciente en la prevalencia de eventos severos (variación 20×), que hace inviable un umbral único estático. La calibración individual del umbral es la condición necesaria para el uso clínico del módulo. Lo que NB08 establece es la factibilidad analítica de la predicción prospectiva sobre oximetría portátil domiciliaria; </w:t>
      </w:r>
      <w:r w:rsidRPr="00AA4399">
        <w:rPr>
          <w:rFonts w:asciiTheme="minorHAnsi" w:hAnsiTheme="minorHAnsi"/>
        </w:rPr>
        <w:lastRenderedPageBreak/>
        <w:t>lo que deja pendiente —la validación del efecto terapéutico del estimulador, la calibración individual y la confirmación en cohortes externas— constituye la agenda del ensayo clínico controlado cuyo diseño se esboza en Cap09.</w:t>
      </w:r>
    </w:p>
    <w:p w14:paraId="09089F59" w14:textId="77777777" w:rsidR="00AB2979" w:rsidRPr="00AA4399" w:rsidRDefault="00000000">
      <w:pPr>
        <w:spacing w:before="400"/>
        <w:rPr>
          <w:rFonts w:asciiTheme="minorHAnsi" w:hAnsiTheme="minorHAnsi"/>
        </w:rPr>
      </w:pPr>
      <w:r w:rsidRPr="00AA4399">
        <w:rPr>
          <w:rFonts w:asciiTheme="minorHAnsi" w:hAnsiTheme="minorHAnsi"/>
          <w:i/>
          <w:iCs/>
          <w:color w:val="444444"/>
        </w:rPr>
        <w:t>Continúa en Capítulo 9 — Discusión</w:t>
      </w: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FEB37" w14:textId="77777777" w:rsidR="00AD506A" w:rsidRDefault="00AD506A" w:rsidP="00DC76F1">
      <w:r>
        <w:separator/>
      </w:r>
    </w:p>
  </w:endnote>
  <w:endnote w:type="continuationSeparator" w:id="0">
    <w:p w14:paraId="39587486" w14:textId="77777777" w:rsidR="00AD506A" w:rsidRDefault="00AD506A"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C9639" w14:textId="77777777" w:rsidR="00AD506A" w:rsidRDefault="00AD506A" w:rsidP="00DC76F1">
      <w:r>
        <w:separator/>
      </w:r>
    </w:p>
  </w:footnote>
  <w:footnote w:type="continuationSeparator" w:id="0">
    <w:p w14:paraId="13AD504A" w14:textId="77777777" w:rsidR="00AD506A" w:rsidRDefault="00AD506A"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74D4B"/>
    <w:rsid w:val="00111CC2"/>
    <w:rsid w:val="00116C50"/>
    <w:rsid w:val="00231D45"/>
    <w:rsid w:val="002D3C99"/>
    <w:rsid w:val="005560BB"/>
    <w:rsid w:val="00600F5D"/>
    <w:rsid w:val="006B3651"/>
    <w:rsid w:val="00712693"/>
    <w:rsid w:val="00763C12"/>
    <w:rsid w:val="00766955"/>
    <w:rsid w:val="00821236"/>
    <w:rsid w:val="00833978"/>
    <w:rsid w:val="00971252"/>
    <w:rsid w:val="009E28F0"/>
    <w:rsid w:val="00AA4399"/>
    <w:rsid w:val="00AB2979"/>
    <w:rsid w:val="00AD506A"/>
    <w:rsid w:val="00AF10ED"/>
    <w:rsid w:val="00B61AF2"/>
    <w:rsid w:val="00BC7402"/>
    <w:rsid w:val="00BE1140"/>
    <w:rsid w:val="00D21A1D"/>
    <w:rsid w:val="00DC76F1"/>
    <w:rsid w:val="00E27C65"/>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2410</Words>
  <Characters>12776</Characters>
  <Application>Microsoft Office Word</Application>
  <DocSecurity>0</DocSecurity>
  <Lines>336</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17</cp:revision>
  <dcterms:created xsi:type="dcterms:W3CDTF">2026-06-02T19:06:00Z</dcterms:created>
  <dcterms:modified xsi:type="dcterms:W3CDTF">2026-06-06T18:30:00Z</dcterms:modified>
</cp:coreProperties>
</file>